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90925" w14:textId="77777777" w:rsidR="00C722F9" w:rsidRPr="00C722F9" w:rsidRDefault="00C722F9" w:rsidP="00C722F9">
      <w:pPr>
        <w:spacing w:line="360" w:lineRule="auto"/>
        <w:rPr>
          <w:rFonts w:ascii="Calibri" w:eastAsia="Calibri" w:hAnsi="Calibri" w:cs="Times New Roman"/>
          <w:sz w:val="28"/>
          <w:szCs w:val="28"/>
        </w:rPr>
      </w:pPr>
    </w:p>
    <w:p w14:paraId="413FC8F6" w14:textId="18889200" w:rsidR="470E68AC" w:rsidRDefault="470E68AC" w:rsidP="00567419">
      <w:pPr>
        <w:spacing w:line="480" w:lineRule="auto"/>
        <w:jc w:val="center"/>
        <w:rPr>
          <w:rFonts w:ascii="Times New Roman" w:hAnsi="Times New Roman" w:cs="Times New Roman"/>
        </w:rPr>
      </w:pPr>
      <w:r w:rsidRPr="470E68AC">
        <w:rPr>
          <w:rFonts w:ascii="Times New Roman" w:hAnsi="Times New Roman" w:cs="Times New Roman"/>
        </w:rPr>
        <w:t>FYP: Critical Essay</w:t>
      </w:r>
    </w:p>
    <w:p w14:paraId="531A1A0E" w14:textId="77513CFC" w:rsidR="007B6E5B" w:rsidRDefault="005C50B5" w:rsidP="325688B2">
      <w:pPr>
        <w:spacing w:line="480" w:lineRule="auto"/>
        <w:jc w:val="center"/>
        <w:rPr>
          <w:rFonts w:ascii="Times New Roman" w:hAnsi="Times New Roman" w:cs="Times New Roman"/>
        </w:rPr>
      </w:pPr>
      <w:r w:rsidRPr="325688B2">
        <w:rPr>
          <w:rFonts w:ascii="Times New Roman" w:hAnsi="Times New Roman" w:cs="Times New Roman"/>
        </w:rPr>
        <w:t>Rebellious</w:t>
      </w:r>
      <w:r w:rsidR="007B6E5B" w:rsidRPr="325688B2">
        <w:rPr>
          <w:rFonts w:ascii="Times New Roman" w:hAnsi="Times New Roman" w:cs="Times New Roman"/>
        </w:rPr>
        <w:t xml:space="preserve"> Self-Expression during the Anti</w:t>
      </w:r>
      <w:r w:rsidR="0033759C" w:rsidRPr="325688B2">
        <w:rPr>
          <w:rFonts w:ascii="Times New Roman" w:hAnsi="Times New Roman" w:cs="Times New Roman"/>
        </w:rPr>
        <w:t>-</w:t>
      </w:r>
      <w:r w:rsidR="007B6E5B" w:rsidRPr="325688B2">
        <w:rPr>
          <w:rFonts w:ascii="Times New Roman" w:hAnsi="Times New Roman" w:cs="Times New Roman"/>
        </w:rPr>
        <w:t>War Movement: The Politicisation of Fashion Through Counterculture</w:t>
      </w:r>
    </w:p>
    <w:p w14:paraId="4EE6AC46" w14:textId="784977AE" w:rsidR="0033759C" w:rsidRDefault="0033759C" w:rsidP="00586EFE">
      <w:pPr>
        <w:spacing w:line="480" w:lineRule="auto"/>
        <w:rPr>
          <w:rFonts w:ascii="Times New Roman" w:hAnsi="Times New Roman" w:cs="Times New Roman"/>
        </w:rPr>
      </w:pPr>
      <w:r>
        <w:rPr>
          <w:rFonts w:ascii="Times New Roman" w:hAnsi="Times New Roman" w:cs="Times New Roman"/>
        </w:rPr>
        <w:t xml:space="preserve">The rising conflict between the US and Vietnam during late </w:t>
      </w:r>
      <w:r w:rsidR="00F872D6">
        <w:rPr>
          <w:rFonts w:ascii="Times New Roman" w:hAnsi="Times New Roman" w:cs="Times New Roman"/>
        </w:rPr>
        <w:t xml:space="preserve">1960s </w:t>
      </w:r>
      <w:r>
        <w:rPr>
          <w:rFonts w:ascii="Times New Roman" w:hAnsi="Times New Roman" w:cs="Times New Roman"/>
        </w:rPr>
        <w:t>and 1970s inspired a desire for social change among American youths</w:t>
      </w:r>
      <w:r w:rsidR="00ED2040">
        <w:rPr>
          <w:rFonts w:ascii="Times New Roman" w:hAnsi="Times New Roman" w:cs="Times New Roman"/>
        </w:rPr>
        <w:t>.</w:t>
      </w:r>
      <w:r w:rsidR="007A4996">
        <w:rPr>
          <w:rFonts w:ascii="Times New Roman" w:hAnsi="Times New Roman" w:cs="Times New Roman"/>
        </w:rPr>
        <w:t xml:space="preserve"> Peace-protesting was </w:t>
      </w:r>
      <w:r w:rsidR="00304372">
        <w:rPr>
          <w:rFonts w:ascii="Times New Roman" w:hAnsi="Times New Roman" w:cs="Times New Roman"/>
        </w:rPr>
        <w:t xml:space="preserve">steadily </w:t>
      </w:r>
      <w:r w:rsidR="007A4996">
        <w:rPr>
          <w:rFonts w:ascii="Times New Roman" w:hAnsi="Times New Roman" w:cs="Times New Roman"/>
        </w:rPr>
        <w:t>introduced by college students across the US in the mid-</w:t>
      </w:r>
      <w:r w:rsidR="000E4169">
        <w:rPr>
          <w:rFonts w:ascii="Times New Roman" w:hAnsi="Times New Roman" w:cs="Times New Roman"/>
        </w:rPr>
        <w:t>s</w:t>
      </w:r>
      <w:r w:rsidR="007A4996">
        <w:rPr>
          <w:rFonts w:ascii="Times New Roman" w:hAnsi="Times New Roman" w:cs="Times New Roman"/>
        </w:rPr>
        <w:t xml:space="preserve">ixties in opposition to the </w:t>
      </w:r>
      <w:r w:rsidR="0069707A">
        <w:rPr>
          <w:rFonts w:ascii="Times New Roman" w:hAnsi="Times New Roman" w:cs="Times New Roman"/>
        </w:rPr>
        <w:t xml:space="preserve">state’s involvement in the </w:t>
      </w:r>
      <w:r w:rsidR="007A4996">
        <w:rPr>
          <w:rFonts w:ascii="Times New Roman" w:hAnsi="Times New Roman" w:cs="Times New Roman"/>
        </w:rPr>
        <w:t xml:space="preserve">war. These smaller protests led to the establishment of </w:t>
      </w:r>
      <w:r w:rsidR="0069707A">
        <w:rPr>
          <w:rFonts w:ascii="Times New Roman" w:hAnsi="Times New Roman" w:cs="Times New Roman"/>
        </w:rPr>
        <w:t xml:space="preserve">the </w:t>
      </w:r>
      <w:r w:rsidR="007A4996">
        <w:rPr>
          <w:rFonts w:ascii="Times New Roman" w:hAnsi="Times New Roman" w:cs="Times New Roman"/>
        </w:rPr>
        <w:t xml:space="preserve">greater </w:t>
      </w:r>
      <w:r w:rsidR="0069707A">
        <w:rPr>
          <w:rFonts w:ascii="Times New Roman" w:hAnsi="Times New Roman" w:cs="Times New Roman"/>
        </w:rPr>
        <w:t>Anti-</w:t>
      </w:r>
      <w:r w:rsidR="007A4996">
        <w:rPr>
          <w:rFonts w:ascii="Times New Roman" w:hAnsi="Times New Roman" w:cs="Times New Roman"/>
        </w:rPr>
        <w:t xml:space="preserve">War movement which has since gained recognition as a </w:t>
      </w:r>
      <w:r w:rsidR="00740AA5">
        <w:rPr>
          <w:rFonts w:ascii="Times New Roman" w:hAnsi="Times New Roman" w:cs="Times New Roman"/>
        </w:rPr>
        <w:t>modern counterculture</w:t>
      </w:r>
      <w:r w:rsidR="00ED2040">
        <w:rPr>
          <w:rFonts w:ascii="Times New Roman" w:hAnsi="Times New Roman" w:cs="Times New Roman"/>
        </w:rPr>
        <w:t xml:space="preserve"> movement.</w:t>
      </w:r>
      <w:r w:rsidR="002207B0">
        <w:rPr>
          <w:rStyle w:val="FootnoteReference"/>
          <w:rFonts w:ascii="Times New Roman" w:hAnsi="Times New Roman" w:cs="Times New Roman"/>
        </w:rPr>
        <w:footnoteReference w:id="1"/>
      </w:r>
      <w:r w:rsidR="002207B0">
        <w:rPr>
          <w:rFonts w:ascii="Times New Roman" w:hAnsi="Times New Roman" w:cs="Times New Roman"/>
        </w:rPr>
        <w:t xml:space="preserve"> </w:t>
      </w:r>
      <w:r w:rsidR="00D82387">
        <w:rPr>
          <w:rFonts w:ascii="Times New Roman" w:hAnsi="Times New Roman" w:cs="Times New Roman"/>
        </w:rPr>
        <w:t>The desire for social and political liberation among young people manifested across a variety of cultural formats, particularly in fashion.</w:t>
      </w:r>
      <w:r w:rsidR="000442B1">
        <w:rPr>
          <w:rFonts w:ascii="Times New Roman" w:hAnsi="Times New Roman" w:cs="Times New Roman"/>
        </w:rPr>
        <w:t xml:space="preserve"> </w:t>
      </w:r>
      <w:r w:rsidR="00586B8E">
        <w:rPr>
          <w:rFonts w:ascii="Times New Roman" w:hAnsi="Times New Roman" w:cs="Times New Roman"/>
        </w:rPr>
        <w:t xml:space="preserve">Protesters used clothing </w:t>
      </w:r>
      <w:r w:rsidR="00C14DB0">
        <w:rPr>
          <w:rFonts w:ascii="Times New Roman" w:hAnsi="Times New Roman" w:cs="Times New Roman"/>
        </w:rPr>
        <w:t>to visually</w:t>
      </w:r>
      <w:r w:rsidR="007424CD">
        <w:rPr>
          <w:rFonts w:ascii="Times New Roman" w:hAnsi="Times New Roman" w:cs="Times New Roman"/>
        </w:rPr>
        <w:t xml:space="preserve"> </w:t>
      </w:r>
      <w:r w:rsidR="00586B8E">
        <w:rPr>
          <w:rFonts w:ascii="Times New Roman" w:hAnsi="Times New Roman" w:cs="Times New Roman"/>
        </w:rPr>
        <w:t>symbolise their rebellion against the conservative</w:t>
      </w:r>
      <w:r w:rsidR="007424CD">
        <w:rPr>
          <w:rFonts w:ascii="Times New Roman" w:hAnsi="Times New Roman" w:cs="Times New Roman"/>
        </w:rPr>
        <w:t>, war-driven society of that time.</w:t>
      </w:r>
      <w:r w:rsidR="00586B8E">
        <w:rPr>
          <w:rFonts w:ascii="Times New Roman" w:hAnsi="Times New Roman" w:cs="Times New Roman"/>
        </w:rPr>
        <w:t xml:space="preserve">  </w:t>
      </w:r>
      <w:r w:rsidRPr="0033759C">
        <w:rPr>
          <w:rFonts w:ascii="Times New Roman" w:hAnsi="Times New Roman" w:cs="Times New Roman"/>
        </w:rPr>
        <w:t>This essay investigate</w:t>
      </w:r>
      <w:r w:rsidR="00A9149D">
        <w:rPr>
          <w:rFonts w:ascii="Times New Roman" w:hAnsi="Times New Roman" w:cs="Times New Roman"/>
        </w:rPr>
        <w:t>s</w:t>
      </w:r>
      <w:r w:rsidRPr="0033759C">
        <w:rPr>
          <w:rFonts w:ascii="Times New Roman" w:hAnsi="Times New Roman" w:cs="Times New Roman"/>
        </w:rPr>
        <w:t xml:space="preserve"> </w:t>
      </w:r>
      <w:r w:rsidR="00816DD6">
        <w:rPr>
          <w:rFonts w:ascii="Times New Roman" w:hAnsi="Times New Roman" w:cs="Times New Roman"/>
        </w:rPr>
        <w:t>the politicisation of fashion through the counterculture movement</w:t>
      </w:r>
      <w:r w:rsidR="00A9149D">
        <w:rPr>
          <w:rFonts w:ascii="Times New Roman" w:hAnsi="Times New Roman" w:cs="Times New Roman"/>
        </w:rPr>
        <w:t xml:space="preserve">, </w:t>
      </w:r>
      <w:r w:rsidR="00816DD6">
        <w:rPr>
          <w:rFonts w:ascii="Times New Roman" w:hAnsi="Times New Roman" w:cs="Times New Roman"/>
        </w:rPr>
        <w:t xml:space="preserve">examining </w:t>
      </w:r>
      <w:r w:rsidR="00A9149D">
        <w:rPr>
          <w:rFonts w:ascii="Times New Roman" w:hAnsi="Times New Roman" w:cs="Times New Roman"/>
        </w:rPr>
        <w:t>fashion</w:t>
      </w:r>
      <w:r w:rsidR="00816DD6">
        <w:rPr>
          <w:rFonts w:ascii="Times New Roman" w:hAnsi="Times New Roman" w:cs="Times New Roman"/>
        </w:rPr>
        <w:t xml:space="preserve"> as a </w:t>
      </w:r>
      <w:r w:rsidR="00A9149D">
        <w:rPr>
          <w:rFonts w:ascii="Times New Roman" w:hAnsi="Times New Roman" w:cs="Times New Roman"/>
        </w:rPr>
        <w:t xml:space="preserve">direct </w:t>
      </w:r>
      <w:r w:rsidR="00816DD6">
        <w:rPr>
          <w:rFonts w:ascii="Times New Roman" w:hAnsi="Times New Roman" w:cs="Times New Roman"/>
        </w:rPr>
        <w:t xml:space="preserve">response to </w:t>
      </w:r>
      <w:r w:rsidR="00A9149D">
        <w:rPr>
          <w:rFonts w:ascii="Times New Roman" w:hAnsi="Times New Roman" w:cs="Times New Roman"/>
        </w:rPr>
        <w:t xml:space="preserve">the conflict in Vietnam </w:t>
      </w:r>
      <w:r w:rsidR="00DD00DD">
        <w:rPr>
          <w:rFonts w:ascii="Times New Roman" w:hAnsi="Times New Roman" w:cs="Times New Roman"/>
        </w:rPr>
        <w:t xml:space="preserve">and its contribution to the </w:t>
      </w:r>
      <w:r w:rsidR="00816DD6">
        <w:rPr>
          <w:rFonts w:ascii="Times New Roman" w:hAnsi="Times New Roman" w:cs="Times New Roman"/>
        </w:rPr>
        <w:t>transform</w:t>
      </w:r>
      <w:r w:rsidR="00DD00DD">
        <w:rPr>
          <w:rFonts w:ascii="Times New Roman" w:hAnsi="Times New Roman" w:cs="Times New Roman"/>
        </w:rPr>
        <w:t xml:space="preserve">ation of </w:t>
      </w:r>
      <w:r w:rsidR="00816DD6">
        <w:rPr>
          <w:rFonts w:ascii="Times New Roman" w:hAnsi="Times New Roman" w:cs="Times New Roman"/>
        </w:rPr>
        <w:t>individual expression.</w:t>
      </w:r>
    </w:p>
    <w:p w14:paraId="42942377" w14:textId="312C005E" w:rsidR="00987C37" w:rsidRDefault="00030DA0" w:rsidP="00586EFE">
      <w:pPr>
        <w:spacing w:line="480" w:lineRule="auto"/>
        <w:rPr>
          <w:rFonts w:ascii="Times New Roman" w:hAnsi="Times New Roman" w:cs="Times New Roman"/>
        </w:rPr>
      </w:pPr>
      <w:r w:rsidRPr="00030DA0">
        <w:rPr>
          <w:rFonts w:ascii="Times New Roman" w:hAnsi="Times New Roman" w:cs="Times New Roman"/>
        </w:rPr>
        <w:t xml:space="preserve">The counterculture generation of the late </w:t>
      </w:r>
      <w:r w:rsidR="00712507">
        <w:rPr>
          <w:rFonts w:ascii="Times New Roman" w:hAnsi="Times New Roman" w:cs="Times New Roman"/>
        </w:rPr>
        <w:t xml:space="preserve">sixties and seventies </w:t>
      </w:r>
      <w:r w:rsidRPr="00030DA0">
        <w:rPr>
          <w:rFonts w:ascii="Times New Roman" w:hAnsi="Times New Roman" w:cs="Times New Roman"/>
        </w:rPr>
        <w:t xml:space="preserve">sought change across youth culture. </w:t>
      </w:r>
      <w:r>
        <w:rPr>
          <w:rFonts w:ascii="Times New Roman" w:hAnsi="Times New Roman" w:cs="Times New Roman"/>
        </w:rPr>
        <w:t xml:space="preserve">The movement </w:t>
      </w:r>
      <w:r w:rsidR="00ED7155" w:rsidRPr="00ED7155">
        <w:rPr>
          <w:rFonts w:ascii="Times New Roman" w:hAnsi="Times New Roman" w:cs="Times New Roman"/>
        </w:rPr>
        <w:t xml:space="preserve">reflected decades of cultural rebellion within Europe and North America and responded to the Vietnam War through </w:t>
      </w:r>
      <w:r w:rsidR="00266EB9">
        <w:rPr>
          <w:rFonts w:ascii="Times New Roman" w:hAnsi="Times New Roman" w:cs="Times New Roman"/>
        </w:rPr>
        <w:t>liberated forms of experimentation</w:t>
      </w:r>
      <w:r w:rsidR="00ED7155" w:rsidRPr="00ED7155">
        <w:rPr>
          <w:rFonts w:ascii="Times New Roman" w:hAnsi="Times New Roman" w:cs="Times New Roman"/>
        </w:rPr>
        <w:t>.</w:t>
      </w:r>
      <w:r w:rsidR="00ED7155" w:rsidRPr="00ED7155">
        <w:rPr>
          <w:rFonts w:ascii="Times New Roman" w:hAnsi="Times New Roman" w:cs="Times New Roman"/>
          <w:vertAlign w:val="superscript"/>
        </w:rPr>
        <w:footnoteReference w:id="2"/>
      </w:r>
      <w:r w:rsidR="00ED7155" w:rsidRPr="00ED7155">
        <w:rPr>
          <w:rFonts w:ascii="Times New Roman" w:hAnsi="Times New Roman" w:cs="Times New Roman"/>
        </w:rPr>
        <w:t xml:space="preserve"> </w:t>
      </w:r>
      <w:r w:rsidR="00F30FB8">
        <w:rPr>
          <w:rFonts w:ascii="Times New Roman" w:hAnsi="Times New Roman" w:cs="Times New Roman"/>
        </w:rPr>
        <w:t xml:space="preserve"> The fashions of this era</w:t>
      </w:r>
      <w:r w:rsidR="00586EFE">
        <w:rPr>
          <w:rFonts w:ascii="Times New Roman" w:hAnsi="Times New Roman" w:cs="Times New Roman"/>
        </w:rPr>
        <w:t xml:space="preserve"> moved away from the conformist nature of previous decades and inspired fresh, free-</w:t>
      </w:r>
      <w:r w:rsidR="00C74CA7">
        <w:rPr>
          <w:rFonts w:ascii="Times New Roman" w:hAnsi="Times New Roman" w:cs="Times New Roman"/>
        </w:rPr>
        <w:t>flowing,</w:t>
      </w:r>
      <w:r w:rsidR="00586EFE">
        <w:rPr>
          <w:rFonts w:ascii="Times New Roman" w:hAnsi="Times New Roman" w:cs="Times New Roman"/>
        </w:rPr>
        <w:t xml:space="preserve"> and inclusive trends.</w:t>
      </w:r>
      <w:r w:rsidR="00847707">
        <w:rPr>
          <w:rFonts w:ascii="Times New Roman" w:hAnsi="Times New Roman" w:cs="Times New Roman"/>
        </w:rPr>
        <w:t xml:space="preserve"> </w:t>
      </w:r>
      <w:r w:rsidR="00E37B84">
        <w:rPr>
          <w:rFonts w:ascii="Times New Roman" w:hAnsi="Times New Roman" w:cs="Times New Roman"/>
        </w:rPr>
        <w:t xml:space="preserve">This rejection of traditional systematic society </w:t>
      </w:r>
      <w:r w:rsidR="003F56B9">
        <w:rPr>
          <w:rFonts w:ascii="Times New Roman" w:hAnsi="Times New Roman" w:cs="Times New Roman"/>
        </w:rPr>
        <w:t xml:space="preserve">manifested across a variation of </w:t>
      </w:r>
      <w:r w:rsidR="00847707">
        <w:rPr>
          <w:rFonts w:ascii="Times New Roman" w:hAnsi="Times New Roman" w:cs="Times New Roman"/>
        </w:rPr>
        <w:t>art-forms</w:t>
      </w:r>
      <w:r w:rsidR="003F56B9">
        <w:rPr>
          <w:rFonts w:ascii="Times New Roman" w:hAnsi="Times New Roman" w:cs="Times New Roman"/>
        </w:rPr>
        <w:t xml:space="preserve"> including </w:t>
      </w:r>
      <w:r w:rsidR="00847707">
        <w:rPr>
          <w:rFonts w:ascii="Times New Roman" w:hAnsi="Times New Roman" w:cs="Times New Roman"/>
        </w:rPr>
        <w:t>fashion</w:t>
      </w:r>
      <w:r w:rsidR="003F56B9">
        <w:rPr>
          <w:rFonts w:ascii="Times New Roman" w:hAnsi="Times New Roman" w:cs="Times New Roman"/>
        </w:rPr>
        <w:t xml:space="preserve">, </w:t>
      </w:r>
      <w:r w:rsidR="00847707">
        <w:rPr>
          <w:rFonts w:ascii="Times New Roman" w:hAnsi="Times New Roman" w:cs="Times New Roman"/>
        </w:rPr>
        <w:t>music,</w:t>
      </w:r>
      <w:r w:rsidR="003F56B9">
        <w:rPr>
          <w:rFonts w:ascii="Times New Roman" w:hAnsi="Times New Roman" w:cs="Times New Roman"/>
        </w:rPr>
        <w:t xml:space="preserve"> and film.</w:t>
      </w:r>
      <w:r w:rsidR="002040A1">
        <w:rPr>
          <w:rFonts w:ascii="Times New Roman" w:hAnsi="Times New Roman" w:cs="Times New Roman"/>
        </w:rPr>
        <w:t xml:space="preserve"> </w:t>
      </w:r>
      <w:r w:rsidR="00296B88">
        <w:rPr>
          <w:rFonts w:ascii="Times New Roman" w:hAnsi="Times New Roman" w:cs="Times New Roman"/>
        </w:rPr>
        <w:t>Hippie</w:t>
      </w:r>
      <w:r w:rsidR="00D2742C">
        <w:rPr>
          <w:rFonts w:ascii="Times New Roman" w:hAnsi="Times New Roman" w:cs="Times New Roman"/>
        </w:rPr>
        <w:t>s</w:t>
      </w:r>
      <w:r w:rsidR="00800363">
        <w:rPr>
          <w:rFonts w:ascii="Times New Roman" w:hAnsi="Times New Roman" w:cs="Times New Roman"/>
        </w:rPr>
        <w:t xml:space="preserve"> believed that </w:t>
      </w:r>
      <w:r w:rsidR="00296B88">
        <w:rPr>
          <w:rFonts w:ascii="Times New Roman" w:hAnsi="Times New Roman" w:cs="Times New Roman"/>
        </w:rPr>
        <w:t xml:space="preserve">fashion, prior to counterculture, </w:t>
      </w:r>
      <w:r w:rsidR="00800363">
        <w:rPr>
          <w:rFonts w:ascii="Times New Roman" w:hAnsi="Times New Roman" w:cs="Times New Roman"/>
        </w:rPr>
        <w:t>was a ‘sys</w:t>
      </w:r>
      <w:r w:rsidR="00296B88">
        <w:rPr>
          <w:rFonts w:ascii="Times New Roman" w:hAnsi="Times New Roman" w:cs="Times New Roman"/>
        </w:rPr>
        <w:t>tem that society impose</w:t>
      </w:r>
      <w:r w:rsidR="00AF5388">
        <w:rPr>
          <w:rFonts w:ascii="Times New Roman" w:hAnsi="Times New Roman" w:cs="Times New Roman"/>
        </w:rPr>
        <w:t>(d)</w:t>
      </w:r>
      <w:r w:rsidR="00296B88">
        <w:rPr>
          <w:rFonts w:ascii="Times New Roman" w:hAnsi="Times New Roman" w:cs="Times New Roman"/>
        </w:rPr>
        <w:t>’</w:t>
      </w:r>
      <w:r w:rsidR="008E6B6E">
        <w:rPr>
          <w:rStyle w:val="FootnoteReference"/>
          <w:rFonts w:ascii="Times New Roman" w:hAnsi="Times New Roman" w:cs="Times New Roman"/>
        </w:rPr>
        <w:footnoteReference w:id="3"/>
      </w:r>
      <w:r w:rsidR="00296B88">
        <w:rPr>
          <w:rFonts w:ascii="Times New Roman" w:hAnsi="Times New Roman" w:cs="Times New Roman"/>
        </w:rPr>
        <w:t xml:space="preserve"> </w:t>
      </w:r>
      <w:r w:rsidR="00AF5388">
        <w:rPr>
          <w:rFonts w:ascii="Times New Roman" w:hAnsi="Times New Roman" w:cs="Times New Roman"/>
        </w:rPr>
        <w:t xml:space="preserve">on them </w:t>
      </w:r>
      <w:r w:rsidR="00296B88">
        <w:rPr>
          <w:rFonts w:ascii="Times New Roman" w:hAnsi="Times New Roman" w:cs="Times New Roman"/>
        </w:rPr>
        <w:t>and contributed to the ‘restriction of freedom’ that was felt by youths at this time.</w:t>
      </w:r>
      <w:r w:rsidR="007F0F20">
        <w:rPr>
          <w:rFonts w:ascii="Times New Roman" w:hAnsi="Times New Roman" w:cs="Times New Roman"/>
        </w:rPr>
        <w:t xml:space="preserve"> </w:t>
      </w:r>
      <w:r w:rsidR="009F4804">
        <w:rPr>
          <w:rFonts w:ascii="Times New Roman" w:hAnsi="Times New Roman" w:cs="Times New Roman"/>
        </w:rPr>
        <w:t>To achieve this new concept of self-expression, hippies abandoned “received fashion, in order to invent (their) own personal fashions”.</w:t>
      </w:r>
      <w:r w:rsidR="000B74C0">
        <w:rPr>
          <w:rStyle w:val="FootnoteReference"/>
          <w:rFonts w:ascii="Times New Roman" w:hAnsi="Times New Roman" w:cs="Times New Roman"/>
        </w:rPr>
        <w:footnoteReference w:id="4"/>
      </w:r>
      <w:r w:rsidR="00C5774F">
        <w:rPr>
          <w:rFonts w:ascii="Times New Roman" w:hAnsi="Times New Roman" w:cs="Times New Roman"/>
        </w:rPr>
        <w:t xml:space="preserve"> </w:t>
      </w:r>
    </w:p>
    <w:p w14:paraId="0016ED98" w14:textId="4CBCFAF5" w:rsidR="000E4169" w:rsidRDefault="000E4169" w:rsidP="00586EFE">
      <w:pPr>
        <w:spacing w:line="480" w:lineRule="auto"/>
        <w:rPr>
          <w:rFonts w:ascii="Times New Roman" w:hAnsi="Times New Roman" w:cs="Times New Roman"/>
        </w:rPr>
      </w:pPr>
      <w:r w:rsidRPr="000E4169">
        <w:rPr>
          <w:rFonts w:ascii="Times New Roman" w:hAnsi="Times New Roman" w:cs="Times New Roman"/>
        </w:rPr>
        <w:lastRenderedPageBreak/>
        <w:t>The term counterculture can be confused with ‘subculture’</w:t>
      </w:r>
      <w:r w:rsidRPr="000E4169">
        <w:rPr>
          <w:rFonts w:ascii="Times New Roman" w:hAnsi="Times New Roman" w:cs="Times New Roman"/>
          <w:vertAlign w:val="superscript"/>
        </w:rPr>
        <w:footnoteReference w:id="5"/>
      </w:r>
      <w:r w:rsidRPr="000E4169">
        <w:rPr>
          <w:rFonts w:ascii="Times New Roman" w:hAnsi="Times New Roman" w:cs="Times New Roman"/>
        </w:rPr>
        <w:t xml:space="preserve"> as they have similar tropes, the difference according to Roberts’ article ‘Toward a Generic Concept of Counterculture’ is that counterculture ‘rejects the norms and values which unite the dominant culture’</w:t>
      </w:r>
      <w:r w:rsidRPr="000E4169">
        <w:rPr>
          <w:rFonts w:ascii="Times New Roman" w:hAnsi="Times New Roman" w:cs="Times New Roman"/>
          <w:vertAlign w:val="superscript"/>
        </w:rPr>
        <w:footnoteReference w:id="6"/>
      </w:r>
      <w:r w:rsidRPr="000E4169">
        <w:rPr>
          <w:rFonts w:ascii="Times New Roman" w:hAnsi="Times New Roman" w:cs="Times New Roman"/>
        </w:rPr>
        <w:t>. A subculture affirms ‘the national culture and the fundamental value orientation of the dominant society’. Roberts argues that the similarities between a counterculture and the dominant culture in which it rejects often ‘out-weigh’</w:t>
      </w:r>
      <w:r w:rsidRPr="000E4169">
        <w:rPr>
          <w:rFonts w:ascii="Times New Roman" w:hAnsi="Times New Roman" w:cs="Times New Roman"/>
          <w:vertAlign w:val="superscript"/>
        </w:rPr>
        <w:footnoteReference w:id="7"/>
      </w:r>
      <w:r w:rsidRPr="000E4169">
        <w:rPr>
          <w:rFonts w:ascii="Times New Roman" w:hAnsi="Times New Roman" w:cs="Times New Roman"/>
        </w:rPr>
        <w:t xml:space="preserve"> the differences. This is because a counterculture is ultimately still a </w:t>
      </w:r>
      <w:r w:rsidRPr="325688B2">
        <w:rPr>
          <w:rFonts w:ascii="Times New Roman" w:hAnsi="Times New Roman" w:cs="Times New Roman"/>
          <w:i/>
          <w:iCs/>
        </w:rPr>
        <w:t xml:space="preserve">culture </w:t>
      </w:r>
      <w:r w:rsidRPr="000E4169">
        <w:rPr>
          <w:rFonts w:ascii="Times New Roman" w:hAnsi="Times New Roman" w:cs="Times New Roman"/>
        </w:rPr>
        <w:t>and, in many respects, resembles its “opposite”.</w:t>
      </w:r>
      <w:r w:rsidRPr="000E4169">
        <w:rPr>
          <w:rFonts w:ascii="Times New Roman" w:hAnsi="Times New Roman" w:cs="Times New Roman"/>
          <w:vertAlign w:val="superscript"/>
        </w:rPr>
        <w:footnoteReference w:id="8"/>
      </w:r>
      <w:r w:rsidRPr="000E4169">
        <w:rPr>
          <w:rFonts w:ascii="Times New Roman" w:hAnsi="Times New Roman" w:cs="Times New Roman"/>
        </w:rPr>
        <w:t xml:space="preserve"> It can therefore be understood that a counterculture emerges as a direct response to an event or crisis, and often reflects the culture in which it is rejecting. </w:t>
      </w:r>
    </w:p>
    <w:p w14:paraId="7EB5992F" w14:textId="7F216392" w:rsidR="00712507" w:rsidRDefault="009D5F02" w:rsidP="00586EFE">
      <w:pPr>
        <w:spacing w:line="480" w:lineRule="auto"/>
        <w:rPr>
          <w:rFonts w:ascii="Times New Roman" w:hAnsi="Times New Roman" w:cs="Times New Roman"/>
        </w:rPr>
      </w:pPr>
      <w:r>
        <w:rPr>
          <w:rFonts w:ascii="Times New Roman" w:hAnsi="Times New Roman" w:cs="Times New Roman"/>
        </w:rPr>
        <w:t xml:space="preserve">To understand </w:t>
      </w:r>
      <w:r w:rsidR="000E4169">
        <w:rPr>
          <w:rFonts w:ascii="Times New Roman" w:hAnsi="Times New Roman" w:cs="Times New Roman"/>
        </w:rPr>
        <w:t>how fashion was politicised through counterculture</w:t>
      </w:r>
      <w:r w:rsidR="000D4BB2">
        <w:rPr>
          <w:rFonts w:ascii="Times New Roman" w:hAnsi="Times New Roman" w:cs="Times New Roman"/>
        </w:rPr>
        <w:t xml:space="preserve">, one must first consider </w:t>
      </w:r>
      <w:r w:rsidR="00946AA8">
        <w:rPr>
          <w:rFonts w:ascii="Times New Roman" w:hAnsi="Times New Roman" w:cs="Times New Roman"/>
        </w:rPr>
        <w:t xml:space="preserve">the extensive conflicts that were </w:t>
      </w:r>
      <w:r w:rsidR="005C50B5">
        <w:rPr>
          <w:rFonts w:ascii="Times New Roman" w:hAnsi="Times New Roman" w:cs="Times New Roman"/>
        </w:rPr>
        <w:t xml:space="preserve">active </w:t>
      </w:r>
      <w:r w:rsidR="00946AA8">
        <w:rPr>
          <w:rFonts w:ascii="Times New Roman" w:hAnsi="Times New Roman" w:cs="Times New Roman"/>
        </w:rPr>
        <w:t>at this time.</w:t>
      </w:r>
      <w:r w:rsidR="001674E9">
        <w:rPr>
          <w:rFonts w:ascii="Times New Roman" w:hAnsi="Times New Roman" w:cs="Times New Roman"/>
        </w:rPr>
        <w:t xml:space="preserve"> It is argued that the Anti-War movement relates back to other periods of crisis including WWII</w:t>
      </w:r>
      <w:r w:rsidR="0016470B">
        <w:rPr>
          <w:rFonts w:ascii="Times New Roman" w:hAnsi="Times New Roman" w:cs="Times New Roman"/>
        </w:rPr>
        <w:t>, t</w:t>
      </w:r>
      <w:r w:rsidR="001674E9">
        <w:rPr>
          <w:rFonts w:ascii="Times New Roman" w:hAnsi="Times New Roman" w:cs="Times New Roman"/>
        </w:rPr>
        <w:t xml:space="preserve">he Great </w:t>
      </w:r>
      <w:r w:rsidR="00574CF7">
        <w:rPr>
          <w:rFonts w:ascii="Times New Roman" w:hAnsi="Times New Roman" w:cs="Times New Roman"/>
        </w:rPr>
        <w:t>Depression,</w:t>
      </w:r>
      <w:r w:rsidR="0016470B">
        <w:rPr>
          <w:rFonts w:ascii="Times New Roman" w:hAnsi="Times New Roman" w:cs="Times New Roman"/>
        </w:rPr>
        <w:t xml:space="preserve"> and the Cold War</w:t>
      </w:r>
      <w:r w:rsidR="001674E9">
        <w:rPr>
          <w:rFonts w:ascii="Times New Roman" w:hAnsi="Times New Roman" w:cs="Times New Roman"/>
        </w:rPr>
        <w:t>.</w:t>
      </w:r>
      <w:r w:rsidR="00173067">
        <w:rPr>
          <w:rStyle w:val="FootnoteReference"/>
          <w:rFonts w:ascii="Times New Roman" w:hAnsi="Times New Roman" w:cs="Times New Roman"/>
        </w:rPr>
        <w:footnoteReference w:id="9"/>
      </w:r>
      <w:r w:rsidR="00A41029">
        <w:rPr>
          <w:rFonts w:ascii="Times New Roman" w:hAnsi="Times New Roman" w:cs="Times New Roman"/>
        </w:rPr>
        <w:t xml:space="preserve"> The space race and the increased possibility of nuclear war between the US and Soviet Union was becoming a major source of anxiety for Americans, and so led to a collective belief that the US social “system”</w:t>
      </w:r>
      <w:r w:rsidR="009570F1">
        <w:rPr>
          <w:rStyle w:val="FootnoteReference"/>
          <w:rFonts w:ascii="Times New Roman" w:hAnsi="Times New Roman" w:cs="Times New Roman"/>
        </w:rPr>
        <w:footnoteReference w:id="10"/>
      </w:r>
      <w:r w:rsidR="00A41029">
        <w:rPr>
          <w:rFonts w:ascii="Times New Roman" w:hAnsi="Times New Roman" w:cs="Times New Roman"/>
        </w:rPr>
        <w:t xml:space="preserve"> was flawed. </w:t>
      </w:r>
      <w:r w:rsidR="00712507">
        <w:rPr>
          <w:rFonts w:ascii="Times New Roman" w:hAnsi="Times New Roman" w:cs="Times New Roman"/>
        </w:rPr>
        <w:t>The Anti-War movement is argued to have been an</w:t>
      </w:r>
      <w:r w:rsidR="00712507" w:rsidRPr="00712507">
        <w:rPr>
          <w:rFonts w:ascii="Times New Roman" w:hAnsi="Times New Roman" w:cs="Times New Roman"/>
        </w:rPr>
        <w:t xml:space="preserve"> ‘outgrowth of the two world wars taken as a collective experience’</w:t>
      </w:r>
      <w:r w:rsidR="000E4169">
        <w:rPr>
          <w:rFonts w:ascii="Times New Roman" w:hAnsi="Times New Roman" w:cs="Times New Roman"/>
        </w:rPr>
        <w:t xml:space="preserve"> and was not entirely exclusive to the conflict in Vietnam</w:t>
      </w:r>
      <w:r w:rsidR="00712507" w:rsidRPr="00712507">
        <w:rPr>
          <w:rFonts w:ascii="Times New Roman" w:hAnsi="Times New Roman" w:cs="Times New Roman"/>
        </w:rPr>
        <w:t>.</w:t>
      </w:r>
      <w:r w:rsidR="00712507" w:rsidRPr="00712507">
        <w:rPr>
          <w:rFonts w:ascii="Times New Roman" w:hAnsi="Times New Roman" w:cs="Times New Roman"/>
          <w:vertAlign w:val="superscript"/>
        </w:rPr>
        <w:footnoteReference w:id="11"/>
      </w:r>
      <w:r w:rsidR="00AC29DF">
        <w:rPr>
          <w:rFonts w:ascii="Times New Roman" w:hAnsi="Times New Roman" w:cs="Times New Roman"/>
        </w:rPr>
        <w:t xml:space="preserve"> </w:t>
      </w:r>
      <w:r w:rsidR="00AC29DF" w:rsidRPr="00712507">
        <w:rPr>
          <w:rFonts w:ascii="Times New Roman" w:hAnsi="Times New Roman" w:cs="Times New Roman"/>
        </w:rPr>
        <w:t>In</w:t>
      </w:r>
      <w:r w:rsidR="00712507" w:rsidRPr="00712507">
        <w:rPr>
          <w:rFonts w:ascii="Times New Roman" w:hAnsi="Times New Roman" w:cs="Times New Roman"/>
        </w:rPr>
        <w:t xml:space="preserve"> an article published in ‘Peace Research: The Canadian Journal of Peace and Conflict Studies’, Benjamin T. Harrison argues that the “baby boomers”</w:t>
      </w:r>
      <w:r w:rsidR="00712507" w:rsidRPr="00712507">
        <w:rPr>
          <w:rFonts w:ascii="Times New Roman" w:hAnsi="Times New Roman" w:cs="Times New Roman"/>
          <w:vertAlign w:val="superscript"/>
        </w:rPr>
        <w:footnoteReference w:id="12"/>
      </w:r>
      <w:r w:rsidR="00712507" w:rsidRPr="00712507">
        <w:rPr>
          <w:rFonts w:ascii="Times New Roman" w:hAnsi="Times New Roman" w:cs="Times New Roman"/>
        </w:rPr>
        <w:t xml:space="preserve"> from this post-war period became the first ‘generation with idealised aspirations.’ The events leading up to this period convinced this generation of youths that their seniors had made a mess of the world, and that they were the only ones who could redeem it.</w:t>
      </w:r>
      <w:r w:rsidR="000E4169">
        <w:rPr>
          <w:rStyle w:val="FootnoteReference"/>
          <w:rFonts w:ascii="Times New Roman" w:hAnsi="Times New Roman" w:cs="Times New Roman"/>
        </w:rPr>
        <w:footnoteReference w:id="13"/>
      </w:r>
      <w:r w:rsidR="00712507" w:rsidRPr="00712507">
        <w:rPr>
          <w:rFonts w:ascii="Times New Roman" w:hAnsi="Times New Roman" w:cs="Times New Roman"/>
        </w:rPr>
        <w:t xml:space="preserve"> </w:t>
      </w:r>
      <w:r w:rsidR="00A41029">
        <w:rPr>
          <w:rFonts w:ascii="Times New Roman" w:hAnsi="Times New Roman" w:cs="Times New Roman"/>
        </w:rPr>
        <w:t>Youths began to question society’s insistence on ‘conformity, environmental destruction, de-</w:t>
      </w:r>
      <w:r w:rsidR="00A41029">
        <w:rPr>
          <w:rFonts w:ascii="Times New Roman" w:hAnsi="Times New Roman" w:cs="Times New Roman"/>
        </w:rPr>
        <w:lastRenderedPageBreak/>
        <w:t>spiritualisation from nature and an impersonal ethos’</w:t>
      </w:r>
      <w:r w:rsidR="00A41029">
        <w:rPr>
          <w:rStyle w:val="FootnoteReference"/>
          <w:rFonts w:ascii="Times New Roman" w:hAnsi="Times New Roman" w:cs="Times New Roman"/>
        </w:rPr>
        <w:footnoteReference w:id="14"/>
      </w:r>
      <w:r w:rsidR="00A41029">
        <w:rPr>
          <w:rFonts w:ascii="Times New Roman" w:hAnsi="Times New Roman" w:cs="Times New Roman"/>
        </w:rPr>
        <w:t>. Many youths thought th</w:t>
      </w:r>
      <w:r w:rsidR="00712507">
        <w:rPr>
          <w:rFonts w:ascii="Times New Roman" w:hAnsi="Times New Roman" w:cs="Times New Roman"/>
        </w:rPr>
        <w:t xml:space="preserve">e </w:t>
      </w:r>
      <w:r w:rsidR="00A41029">
        <w:rPr>
          <w:rFonts w:ascii="Times New Roman" w:hAnsi="Times New Roman" w:cs="Times New Roman"/>
        </w:rPr>
        <w:t>‘flaw’</w:t>
      </w:r>
      <w:r w:rsidR="00712507">
        <w:rPr>
          <w:rStyle w:val="FootnoteReference"/>
          <w:rFonts w:ascii="Times New Roman" w:hAnsi="Times New Roman" w:cs="Times New Roman"/>
        </w:rPr>
        <w:footnoteReference w:id="15"/>
      </w:r>
      <w:r w:rsidR="00A41029">
        <w:rPr>
          <w:rFonts w:ascii="Times New Roman" w:hAnsi="Times New Roman" w:cs="Times New Roman"/>
        </w:rPr>
        <w:t xml:space="preserve"> in the system was due to excessive wealth, </w:t>
      </w:r>
      <w:r w:rsidR="00E72F5B">
        <w:rPr>
          <w:rFonts w:ascii="Times New Roman" w:hAnsi="Times New Roman" w:cs="Times New Roman"/>
        </w:rPr>
        <w:t>consumerism,</w:t>
      </w:r>
      <w:r w:rsidR="00A41029">
        <w:rPr>
          <w:rFonts w:ascii="Times New Roman" w:hAnsi="Times New Roman" w:cs="Times New Roman"/>
        </w:rPr>
        <w:t xml:space="preserve"> and materialism.</w:t>
      </w:r>
      <w:r w:rsidR="00A41029">
        <w:rPr>
          <w:rStyle w:val="FootnoteReference"/>
          <w:rFonts w:ascii="Times New Roman" w:hAnsi="Times New Roman" w:cs="Times New Roman"/>
        </w:rPr>
        <w:footnoteReference w:id="16"/>
      </w:r>
      <w:r w:rsidR="00A41029">
        <w:rPr>
          <w:rFonts w:ascii="Times New Roman" w:hAnsi="Times New Roman" w:cs="Times New Roman"/>
        </w:rPr>
        <w:t xml:space="preserve"> The answer to this, according to the hippies, was to adapt a simpler and more playful style of living.</w:t>
      </w:r>
      <w:r w:rsidR="00A41029">
        <w:rPr>
          <w:rStyle w:val="FootnoteReference"/>
          <w:rFonts w:ascii="Times New Roman" w:hAnsi="Times New Roman" w:cs="Times New Roman"/>
        </w:rPr>
        <w:footnoteReference w:id="17"/>
      </w:r>
      <w:r w:rsidR="00A41029">
        <w:rPr>
          <w:rFonts w:ascii="Times New Roman" w:hAnsi="Times New Roman" w:cs="Times New Roman"/>
        </w:rPr>
        <w:t xml:space="preserve"> This new attitude to life then manifested in innovative methods of self-expression through fashion which has since become a defining aspect of this counterculture. </w:t>
      </w:r>
    </w:p>
    <w:p w14:paraId="77635ABF" w14:textId="0C0E1683" w:rsidR="00895997" w:rsidRDefault="008B5FBF" w:rsidP="00586EFE">
      <w:pPr>
        <w:spacing w:line="480" w:lineRule="auto"/>
        <w:rPr>
          <w:rFonts w:ascii="Times New Roman" w:hAnsi="Times New Roman" w:cs="Times New Roman"/>
        </w:rPr>
      </w:pPr>
      <w:r>
        <w:rPr>
          <w:rFonts w:ascii="Times New Roman" w:hAnsi="Times New Roman" w:cs="Times New Roman"/>
        </w:rPr>
        <w:t>This generation of baby boomers had greater opportunities than the previous generation. Their</w:t>
      </w:r>
      <w:r w:rsidR="00F4488A">
        <w:rPr>
          <w:rFonts w:ascii="Times New Roman" w:hAnsi="Times New Roman" w:cs="Times New Roman"/>
        </w:rPr>
        <w:t xml:space="preserve"> </w:t>
      </w:r>
      <w:r>
        <w:rPr>
          <w:rFonts w:ascii="Times New Roman" w:hAnsi="Times New Roman" w:cs="Times New Roman"/>
        </w:rPr>
        <w:t>college education inspired</w:t>
      </w:r>
      <w:r w:rsidR="00CA178D">
        <w:rPr>
          <w:rFonts w:ascii="Times New Roman" w:hAnsi="Times New Roman" w:cs="Times New Roman"/>
        </w:rPr>
        <w:t xml:space="preserve"> </w:t>
      </w:r>
      <w:r>
        <w:rPr>
          <w:rFonts w:ascii="Times New Roman" w:hAnsi="Times New Roman" w:cs="Times New Roman"/>
        </w:rPr>
        <w:t>greater engagement</w:t>
      </w:r>
      <w:r w:rsidR="00CA178D">
        <w:rPr>
          <w:rFonts w:ascii="Times New Roman" w:hAnsi="Times New Roman" w:cs="Times New Roman"/>
        </w:rPr>
        <w:t xml:space="preserve"> with and expectation</w:t>
      </w:r>
      <w:r>
        <w:rPr>
          <w:rFonts w:ascii="Times New Roman" w:hAnsi="Times New Roman" w:cs="Times New Roman"/>
        </w:rPr>
        <w:t xml:space="preserve"> </w:t>
      </w:r>
      <w:r w:rsidR="00CA178D">
        <w:rPr>
          <w:rFonts w:ascii="Times New Roman" w:hAnsi="Times New Roman" w:cs="Times New Roman"/>
        </w:rPr>
        <w:t>of</w:t>
      </w:r>
      <w:r>
        <w:rPr>
          <w:rFonts w:ascii="Times New Roman" w:hAnsi="Times New Roman" w:cs="Times New Roman"/>
        </w:rPr>
        <w:t xml:space="preserve"> the world around them</w:t>
      </w:r>
      <w:r w:rsidR="00114D33">
        <w:rPr>
          <w:rFonts w:ascii="Times New Roman" w:hAnsi="Times New Roman" w:cs="Times New Roman"/>
        </w:rPr>
        <w:t xml:space="preserve">, leading to </w:t>
      </w:r>
      <w:r w:rsidR="00F4488A">
        <w:rPr>
          <w:rFonts w:ascii="Times New Roman" w:hAnsi="Times New Roman" w:cs="Times New Roman"/>
        </w:rPr>
        <w:t xml:space="preserve">a </w:t>
      </w:r>
      <w:r w:rsidR="00114D33">
        <w:rPr>
          <w:rFonts w:ascii="Times New Roman" w:hAnsi="Times New Roman" w:cs="Times New Roman"/>
        </w:rPr>
        <w:t xml:space="preserve">desire for </w:t>
      </w:r>
      <w:r w:rsidR="000E4169">
        <w:rPr>
          <w:rFonts w:ascii="Times New Roman" w:hAnsi="Times New Roman" w:cs="Times New Roman"/>
        </w:rPr>
        <w:t>socio-political</w:t>
      </w:r>
      <w:r w:rsidR="00114D33">
        <w:rPr>
          <w:rFonts w:ascii="Times New Roman" w:hAnsi="Times New Roman" w:cs="Times New Roman"/>
        </w:rPr>
        <w:t xml:space="preserve"> </w:t>
      </w:r>
      <w:r w:rsidR="000E4169">
        <w:rPr>
          <w:rFonts w:ascii="Times New Roman" w:hAnsi="Times New Roman" w:cs="Times New Roman"/>
        </w:rPr>
        <w:t>change</w:t>
      </w:r>
      <w:r w:rsidR="00F01D66">
        <w:rPr>
          <w:rFonts w:ascii="Times New Roman" w:hAnsi="Times New Roman" w:cs="Times New Roman"/>
        </w:rPr>
        <w:t xml:space="preserve"> and cultural rebellion</w:t>
      </w:r>
      <w:r>
        <w:rPr>
          <w:rFonts w:ascii="Times New Roman" w:hAnsi="Times New Roman" w:cs="Times New Roman"/>
        </w:rPr>
        <w:t>.</w:t>
      </w:r>
      <w:r w:rsidR="00A13CA7">
        <w:rPr>
          <w:rStyle w:val="FootnoteReference"/>
          <w:rFonts w:ascii="Times New Roman" w:hAnsi="Times New Roman" w:cs="Times New Roman"/>
        </w:rPr>
        <w:footnoteReference w:id="18"/>
      </w:r>
      <w:r>
        <w:rPr>
          <w:rFonts w:ascii="Times New Roman" w:hAnsi="Times New Roman" w:cs="Times New Roman"/>
        </w:rPr>
        <w:t xml:space="preserve"> </w:t>
      </w:r>
      <w:r w:rsidR="00114D33">
        <w:rPr>
          <w:rFonts w:ascii="Times New Roman" w:hAnsi="Times New Roman" w:cs="Times New Roman"/>
        </w:rPr>
        <w:t xml:space="preserve">According to Harrison, as well as producing more college students, </w:t>
      </w:r>
      <w:r w:rsidRPr="008B5FBF">
        <w:rPr>
          <w:rFonts w:ascii="Times New Roman" w:hAnsi="Times New Roman" w:cs="Times New Roman"/>
        </w:rPr>
        <w:t xml:space="preserve">the post-war period </w:t>
      </w:r>
      <w:r w:rsidR="00114D33">
        <w:rPr>
          <w:rFonts w:ascii="Times New Roman" w:hAnsi="Times New Roman" w:cs="Times New Roman"/>
        </w:rPr>
        <w:t>‘</w:t>
      </w:r>
      <w:r w:rsidRPr="008B5FBF">
        <w:rPr>
          <w:rFonts w:ascii="Times New Roman" w:hAnsi="Times New Roman" w:cs="Times New Roman"/>
        </w:rPr>
        <w:t>could also afford the leisure of protests.</w:t>
      </w:r>
      <w:r w:rsidR="00114D33">
        <w:rPr>
          <w:rFonts w:ascii="Times New Roman" w:hAnsi="Times New Roman" w:cs="Times New Roman"/>
        </w:rPr>
        <w:t>’</w:t>
      </w:r>
      <w:r w:rsidR="00114D33">
        <w:rPr>
          <w:rStyle w:val="FootnoteReference"/>
          <w:rFonts w:ascii="Times New Roman" w:hAnsi="Times New Roman" w:cs="Times New Roman"/>
        </w:rPr>
        <w:footnoteReference w:id="19"/>
      </w:r>
      <w:r w:rsidRPr="008B5FBF">
        <w:rPr>
          <w:rFonts w:ascii="Times New Roman" w:hAnsi="Times New Roman" w:cs="Times New Roman"/>
        </w:rPr>
        <w:t xml:space="preserve"> </w:t>
      </w:r>
      <w:r w:rsidR="00114D33">
        <w:rPr>
          <w:rFonts w:ascii="Times New Roman" w:hAnsi="Times New Roman" w:cs="Times New Roman"/>
        </w:rPr>
        <w:t xml:space="preserve">He </w:t>
      </w:r>
      <w:r w:rsidR="000E3AD2">
        <w:rPr>
          <w:rFonts w:ascii="Times New Roman" w:hAnsi="Times New Roman" w:cs="Times New Roman"/>
        </w:rPr>
        <w:t xml:space="preserve">explains this generational difference as </w:t>
      </w:r>
      <w:r w:rsidRPr="008B5FBF">
        <w:rPr>
          <w:rFonts w:ascii="Times New Roman" w:hAnsi="Times New Roman" w:cs="Times New Roman"/>
        </w:rPr>
        <w:t>“what the generation of the fifties saw as leisure</w:t>
      </w:r>
      <w:r w:rsidRPr="470E68AC">
        <w:rPr>
          <w:rFonts w:ascii="Times New Roman" w:hAnsi="Times New Roman" w:cs="Times New Roman"/>
          <w:i/>
          <w:iCs/>
        </w:rPr>
        <w:t xml:space="preserve"> in</w:t>
      </w:r>
      <w:r w:rsidRPr="008B5FBF">
        <w:rPr>
          <w:rFonts w:ascii="Times New Roman" w:hAnsi="Times New Roman" w:cs="Times New Roman"/>
        </w:rPr>
        <w:t xml:space="preserve"> work, the generation of the sixties saw as liberation </w:t>
      </w:r>
      <w:r w:rsidRPr="470E68AC">
        <w:rPr>
          <w:rFonts w:ascii="Times New Roman" w:hAnsi="Times New Roman" w:cs="Times New Roman"/>
          <w:i/>
          <w:iCs/>
        </w:rPr>
        <w:t>from</w:t>
      </w:r>
      <w:r w:rsidRPr="008B5FBF">
        <w:rPr>
          <w:rFonts w:ascii="Times New Roman" w:hAnsi="Times New Roman" w:cs="Times New Roman"/>
        </w:rPr>
        <w:t xml:space="preserve"> work.”</w:t>
      </w:r>
      <w:r w:rsidR="00C91F33">
        <w:rPr>
          <w:rStyle w:val="FootnoteReference"/>
          <w:rFonts w:ascii="Times New Roman" w:hAnsi="Times New Roman" w:cs="Times New Roman"/>
        </w:rPr>
        <w:footnoteReference w:id="20"/>
      </w:r>
      <w:r w:rsidRPr="008B5FBF">
        <w:rPr>
          <w:rFonts w:ascii="Times New Roman" w:hAnsi="Times New Roman" w:cs="Times New Roman"/>
        </w:rPr>
        <w:t xml:space="preserve"> </w:t>
      </w:r>
      <w:r w:rsidR="00946AA8">
        <w:rPr>
          <w:rFonts w:ascii="Times New Roman" w:hAnsi="Times New Roman" w:cs="Times New Roman"/>
        </w:rPr>
        <w:t>Th</w:t>
      </w:r>
      <w:r w:rsidR="00173067">
        <w:rPr>
          <w:rFonts w:ascii="Times New Roman" w:hAnsi="Times New Roman" w:cs="Times New Roman"/>
        </w:rPr>
        <w:t>e</w:t>
      </w:r>
      <w:r w:rsidR="002544A6">
        <w:rPr>
          <w:rFonts w:ascii="Times New Roman" w:hAnsi="Times New Roman" w:cs="Times New Roman"/>
        </w:rPr>
        <w:t xml:space="preserve"> </w:t>
      </w:r>
      <w:r w:rsidR="00946AA8">
        <w:rPr>
          <w:rFonts w:ascii="Times New Roman" w:hAnsi="Times New Roman" w:cs="Times New Roman"/>
        </w:rPr>
        <w:t xml:space="preserve">conflict in Vietnam </w:t>
      </w:r>
      <w:r w:rsidR="002544A6">
        <w:rPr>
          <w:rFonts w:ascii="Times New Roman" w:hAnsi="Times New Roman" w:cs="Times New Roman"/>
        </w:rPr>
        <w:t xml:space="preserve">inspired a mentality </w:t>
      </w:r>
      <w:r w:rsidR="00361F2B">
        <w:rPr>
          <w:rFonts w:ascii="Times New Roman" w:hAnsi="Times New Roman" w:cs="Times New Roman"/>
        </w:rPr>
        <w:t xml:space="preserve">among </w:t>
      </w:r>
      <w:r w:rsidR="002544A6">
        <w:rPr>
          <w:rFonts w:ascii="Times New Roman" w:hAnsi="Times New Roman" w:cs="Times New Roman"/>
        </w:rPr>
        <w:t>you</w:t>
      </w:r>
      <w:r w:rsidR="007E7BEA">
        <w:rPr>
          <w:rFonts w:ascii="Times New Roman" w:hAnsi="Times New Roman" w:cs="Times New Roman"/>
        </w:rPr>
        <w:t>ng people that their generation’s work was to carry out these protests in the hope that they would achieve socio-political change and peace from the war. Through the</w:t>
      </w:r>
      <w:r w:rsidR="0016470B">
        <w:rPr>
          <w:rFonts w:ascii="Times New Roman" w:hAnsi="Times New Roman" w:cs="Times New Roman"/>
        </w:rPr>
        <w:t xml:space="preserve"> many</w:t>
      </w:r>
      <w:r w:rsidR="007E7BEA">
        <w:rPr>
          <w:rFonts w:ascii="Times New Roman" w:hAnsi="Times New Roman" w:cs="Times New Roman"/>
        </w:rPr>
        <w:t xml:space="preserve"> </w:t>
      </w:r>
      <w:r w:rsidR="0016470B">
        <w:rPr>
          <w:rFonts w:ascii="Times New Roman" w:hAnsi="Times New Roman" w:cs="Times New Roman"/>
        </w:rPr>
        <w:t>rebellions</w:t>
      </w:r>
      <w:r w:rsidR="007E7BEA">
        <w:rPr>
          <w:rFonts w:ascii="Times New Roman" w:hAnsi="Times New Roman" w:cs="Times New Roman"/>
        </w:rPr>
        <w:t xml:space="preserve"> of this prosperous generation</w:t>
      </w:r>
      <w:r w:rsidR="0016470B">
        <w:rPr>
          <w:rFonts w:ascii="Times New Roman" w:hAnsi="Times New Roman" w:cs="Times New Roman"/>
        </w:rPr>
        <w:t xml:space="preserve"> came </w:t>
      </w:r>
      <w:r w:rsidR="009E2B0B">
        <w:rPr>
          <w:rFonts w:ascii="Times New Roman" w:hAnsi="Times New Roman" w:cs="Times New Roman"/>
        </w:rPr>
        <w:t xml:space="preserve">a </w:t>
      </w:r>
      <w:r w:rsidR="000B6238">
        <w:rPr>
          <w:rFonts w:ascii="Times New Roman" w:hAnsi="Times New Roman" w:cs="Times New Roman"/>
        </w:rPr>
        <w:t>‘</w:t>
      </w:r>
      <w:r w:rsidR="00E74B6E">
        <w:rPr>
          <w:rFonts w:ascii="Times New Roman" w:hAnsi="Times New Roman" w:cs="Times New Roman"/>
        </w:rPr>
        <w:t>counter</w:t>
      </w:r>
      <w:r w:rsidR="009E2B0B">
        <w:rPr>
          <w:rFonts w:ascii="Times New Roman" w:hAnsi="Times New Roman" w:cs="Times New Roman"/>
        </w:rPr>
        <w:t>c</w:t>
      </w:r>
      <w:r w:rsidR="00E74B6E">
        <w:rPr>
          <w:rFonts w:ascii="Times New Roman" w:hAnsi="Times New Roman" w:cs="Times New Roman"/>
        </w:rPr>
        <w:t>ulture</w:t>
      </w:r>
      <w:r w:rsidR="009E2B0B">
        <w:rPr>
          <w:rFonts w:ascii="Times New Roman" w:hAnsi="Times New Roman" w:cs="Times New Roman"/>
        </w:rPr>
        <w:t xml:space="preserve"> in value-conflict</w:t>
      </w:r>
      <w:r w:rsidR="000B6238">
        <w:rPr>
          <w:rFonts w:ascii="Times New Roman" w:hAnsi="Times New Roman" w:cs="Times New Roman"/>
        </w:rPr>
        <w:t>’</w:t>
      </w:r>
      <w:r w:rsidR="009E2B0B">
        <w:rPr>
          <w:rFonts w:ascii="Times New Roman" w:hAnsi="Times New Roman" w:cs="Times New Roman"/>
        </w:rPr>
        <w:t xml:space="preserve"> with the dominant society of that time.</w:t>
      </w:r>
      <w:r w:rsidR="009E2B0B">
        <w:rPr>
          <w:rStyle w:val="FootnoteReference"/>
          <w:rFonts w:ascii="Times New Roman" w:hAnsi="Times New Roman" w:cs="Times New Roman"/>
        </w:rPr>
        <w:footnoteReference w:id="21"/>
      </w:r>
      <w:r w:rsidR="00141773">
        <w:rPr>
          <w:rFonts w:ascii="Times New Roman" w:hAnsi="Times New Roman" w:cs="Times New Roman"/>
        </w:rPr>
        <w:t xml:space="preserve"> </w:t>
      </w:r>
    </w:p>
    <w:p w14:paraId="1D3516F0" w14:textId="1AE63F26" w:rsidR="000B6238" w:rsidRDefault="00C3062B" w:rsidP="00586EFE">
      <w:pPr>
        <w:spacing w:line="480" w:lineRule="auto"/>
        <w:rPr>
          <w:rFonts w:ascii="Times New Roman" w:hAnsi="Times New Roman" w:cs="Times New Roman"/>
        </w:rPr>
      </w:pPr>
      <w:r>
        <w:rPr>
          <w:rFonts w:ascii="Times New Roman" w:hAnsi="Times New Roman" w:cs="Times New Roman"/>
        </w:rPr>
        <w:t xml:space="preserve">Through </w:t>
      </w:r>
      <w:r w:rsidR="001358D8">
        <w:rPr>
          <w:rFonts w:ascii="Times New Roman" w:hAnsi="Times New Roman" w:cs="Times New Roman"/>
        </w:rPr>
        <w:t>a</w:t>
      </w:r>
      <w:r>
        <w:rPr>
          <w:rFonts w:ascii="Times New Roman" w:hAnsi="Times New Roman" w:cs="Times New Roman"/>
        </w:rPr>
        <w:t xml:space="preserve"> </w:t>
      </w:r>
      <w:r w:rsidR="001644D5">
        <w:rPr>
          <w:rFonts w:ascii="Times New Roman" w:hAnsi="Times New Roman" w:cs="Times New Roman"/>
        </w:rPr>
        <w:t xml:space="preserve">shared </w:t>
      </w:r>
      <w:r w:rsidR="003B2539">
        <w:rPr>
          <w:rFonts w:ascii="Times New Roman" w:hAnsi="Times New Roman" w:cs="Times New Roman"/>
        </w:rPr>
        <w:t>opposition to the</w:t>
      </w:r>
      <w:r>
        <w:rPr>
          <w:rFonts w:ascii="Times New Roman" w:hAnsi="Times New Roman" w:cs="Times New Roman"/>
        </w:rPr>
        <w:t xml:space="preserve"> conflict in Vietnam</w:t>
      </w:r>
      <w:r w:rsidR="00F01D66">
        <w:rPr>
          <w:rFonts w:ascii="Times New Roman" w:hAnsi="Times New Roman" w:cs="Times New Roman"/>
        </w:rPr>
        <w:t xml:space="preserve"> and participation in peace protests</w:t>
      </w:r>
      <w:r>
        <w:rPr>
          <w:rFonts w:ascii="Times New Roman" w:hAnsi="Times New Roman" w:cs="Times New Roman"/>
        </w:rPr>
        <w:t>,</w:t>
      </w:r>
      <w:r w:rsidR="007549D5">
        <w:rPr>
          <w:rFonts w:ascii="Times New Roman" w:hAnsi="Times New Roman" w:cs="Times New Roman"/>
        </w:rPr>
        <w:t xml:space="preserve"> a</w:t>
      </w:r>
      <w:r w:rsidR="00AC29DF">
        <w:rPr>
          <w:rFonts w:ascii="Times New Roman" w:hAnsi="Times New Roman" w:cs="Times New Roman"/>
        </w:rPr>
        <w:t xml:space="preserve">n Anti-War </w:t>
      </w:r>
      <w:r w:rsidR="007549D5">
        <w:rPr>
          <w:rFonts w:ascii="Times New Roman" w:hAnsi="Times New Roman" w:cs="Times New Roman"/>
        </w:rPr>
        <w:t>movement</w:t>
      </w:r>
      <w:r w:rsidR="001644D5">
        <w:rPr>
          <w:rFonts w:ascii="Times New Roman" w:hAnsi="Times New Roman" w:cs="Times New Roman"/>
        </w:rPr>
        <w:t xml:space="preserve"> </w:t>
      </w:r>
      <w:r w:rsidR="007549D5">
        <w:rPr>
          <w:rFonts w:ascii="Times New Roman" w:hAnsi="Times New Roman" w:cs="Times New Roman"/>
        </w:rPr>
        <w:t xml:space="preserve">formed in the late </w:t>
      </w:r>
      <w:r w:rsidR="00E57E67">
        <w:rPr>
          <w:rFonts w:ascii="Times New Roman" w:hAnsi="Times New Roman" w:cs="Times New Roman"/>
        </w:rPr>
        <w:t>s</w:t>
      </w:r>
      <w:r w:rsidR="007549D5">
        <w:rPr>
          <w:rFonts w:ascii="Times New Roman" w:hAnsi="Times New Roman" w:cs="Times New Roman"/>
        </w:rPr>
        <w:t>ixties</w:t>
      </w:r>
      <w:r w:rsidR="003B2539">
        <w:rPr>
          <w:rFonts w:ascii="Times New Roman" w:hAnsi="Times New Roman" w:cs="Times New Roman"/>
        </w:rPr>
        <w:t>. T</w:t>
      </w:r>
      <w:r w:rsidR="00D82D90">
        <w:rPr>
          <w:rFonts w:ascii="Times New Roman" w:hAnsi="Times New Roman" w:cs="Times New Roman"/>
        </w:rPr>
        <w:t xml:space="preserve">hose who followed this </w:t>
      </w:r>
      <w:r w:rsidR="00F01D66">
        <w:rPr>
          <w:rFonts w:ascii="Times New Roman" w:hAnsi="Times New Roman" w:cs="Times New Roman"/>
        </w:rPr>
        <w:t xml:space="preserve">movement </w:t>
      </w:r>
      <w:r w:rsidR="00D82D90">
        <w:rPr>
          <w:rFonts w:ascii="Times New Roman" w:hAnsi="Times New Roman" w:cs="Times New Roman"/>
        </w:rPr>
        <w:t xml:space="preserve">were </w:t>
      </w:r>
      <w:r w:rsidR="00E57E67">
        <w:rPr>
          <w:rFonts w:ascii="Times New Roman" w:hAnsi="Times New Roman" w:cs="Times New Roman"/>
        </w:rPr>
        <w:t>known</w:t>
      </w:r>
      <w:r w:rsidR="00D82D90">
        <w:rPr>
          <w:rFonts w:ascii="Times New Roman" w:hAnsi="Times New Roman" w:cs="Times New Roman"/>
        </w:rPr>
        <w:t xml:space="preserve"> as hippies, </w:t>
      </w:r>
      <w:r w:rsidR="00634405">
        <w:rPr>
          <w:rFonts w:ascii="Times New Roman" w:hAnsi="Times New Roman" w:cs="Times New Roman"/>
        </w:rPr>
        <w:t>and</w:t>
      </w:r>
      <w:r w:rsidR="007549D5">
        <w:rPr>
          <w:rFonts w:ascii="Times New Roman" w:hAnsi="Times New Roman" w:cs="Times New Roman"/>
        </w:rPr>
        <w:t xml:space="preserve"> slowly populated communities across the US.</w:t>
      </w:r>
      <w:r w:rsidR="00F01D66">
        <w:rPr>
          <w:rStyle w:val="FootnoteReference"/>
          <w:rFonts w:ascii="Times New Roman" w:hAnsi="Times New Roman" w:cs="Times New Roman"/>
        </w:rPr>
        <w:footnoteReference w:id="22"/>
      </w:r>
      <w:r w:rsidR="00421B1D">
        <w:rPr>
          <w:rFonts w:ascii="Times New Roman" w:hAnsi="Times New Roman" w:cs="Times New Roman"/>
        </w:rPr>
        <w:t xml:space="preserve"> Bearing witness to the consequences of their </w:t>
      </w:r>
      <w:r w:rsidR="002731D8">
        <w:rPr>
          <w:rFonts w:ascii="Times New Roman" w:hAnsi="Times New Roman" w:cs="Times New Roman"/>
        </w:rPr>
        <w:t>elder’s</w:t>
      </w:r>
      <w:r w:rsidR="00C153AC">
        <w:rPr>
          <w:rFonts w:ascii="Times New Roman" w:hAnsi="Times New Roman" w:cs="Times New Roman"/>
        </w:rPr>
        <w:t xml:space="preserve"> </w:t>
      </w:r>
      <w:r w:rsidR="00421B1D">
        <w:rPr>
          <w:rFonts w:ascii="Times New Roman" w:hAnsi="Times New Roman" w:cs="Times New Roman"/>
        </w:rPr>
        <w:t>past, youths began to express</w:t>
      </w:r>
      <w:r w:rsidR="00913750">
        <w:rPr>
          <w:rFonts w:ascii="Times New Roman" w:hAnsi="Times New Roman" w:cs="Times New Roman"/>
        </w:rPr>
        <w:t xml:space="preserve"> their </w:t>
      </w:r>
      <w:r w:rsidR="002731D8">
        <w:rPr>
          <w:rFonts w:ascii="Times New Roman" w:hAnsi="Times New Roman" w:cs="Times New Roman"/>
        </w:rPr>
        <w:t>desired</w:t>
      </w:r>
      <w:r w:rsidR="00421B1D">
        <w:rPr>
          <w:rFonts w:ascii="Times New Roman" w:hAnsi="Times New Roman" w:cs="Times New Roman"/>
        </w:rPr>
        <w:t xml:space="preserve"> liberation from conflict in their </w:t>
      </w:r>
      <w:r w:rsidR="00345B3F">
        <w:rPr>
          <w:rFonts w:ascii="Times New Roman" w:hAnsi="Times New Roman" w:cs="Times New Roman"/>
        </w:rPr>
        <w:t>appearance</w:t>
      </w:r>
      <w:r w:rsidR="00421B1D">
        <w:rPr>
          <w:rFonts w:ascii="Times New Roman" w:hAnsi="Times New Roman" w:cs="Times New Roman"/>
        </w:rPr>
        <w:t>.</w:t>
      </w:r>
      <w:r w:rsidR="00AC29DF" w:rsidRPr="00AC29DF">
        <w:rPr>
          <w:rFonts w:ascii="Times New Roman" w:hAnsi="Times New Roman" w:cs="Times New Roman"/>
        </w:rPr>
        <w:t xml:space="preserve"> Suri argues that </w:t>
      </w:r>
      <w:r w:rsidR="00AC29DF" w:rsidRPr="00AC29DF">
        <w:rPr>
          <w:rFonts w:ascii="Times New Roman" w:hAnsi="Times New Roman" w:cs="Times New Roman"/>
          <w:lang w:val="en-GB"/>
        </w:rPr>
        <w:t>many of the strategies employed by followers of the Anti-War movement such as ‘community organising’</w:t>
      </w:r>
      <w:r w:rsidR="00AC29DF" w:rsidRPr="00AC29DF">
        <w:rPr>
          <w:rFonts w:ascii="Times New Roman" w:hAnsi="Times New Roman" w:cs="Times New Roman"/>
          <w:vertAlign w:val="superscript"/>
          <w:lang w:val="en-GB"/>
        </w:rPr>
        <w:footnoteReference w:id="23"/>
      </w:r>
      <w:r w:rsidR="00AC29DF" w:rsidRPr="00AC29DF">
        <w:rPr>
          <w:rFonts w:ascii="Times New Roman" w:hAnsi="Times New Roman" w:cs="Times New Roman"/>
          <w:lang w:val="en-GB"/>
        </w:rPr>
        <w:t xml:space="preserve"> and ‘non-violent demonstrations’ had strong antecedents. He recognises </w:t>
      </w:r>
      <w:r w:rsidR="00AC29DF" w:rsidRPr="00AC29DF">
        <w:rPr>
          <w:rFonts w:ascii="Times New Roman" w:hAnsi="Times New Roman" w:cs="Times New Roman"/>
          <w:lang w:val="en-GB"/>
        </w:rPr>
        <w:lastRenderedPageBreak/>
        <w:t>that the aims and techniques of counterculture were ‘radical, but also traditional’ and argues that they ‘deployed a very usable political past’</w:t>
      </w:r>
      <w:r w:rsidR="00AC29DF" w:rsidRPr="00AC29DF">
        <w:rPr>
          <w:rFonts w:ascii="Times New Roman" w:hAnsi="Times New Roman" w:cs="Times New Roman"/>
          <w:vertAlign w:val="superscript"/>
          <w:lang w:val="en-GB"/>
        </w:rPr>
        <w:footnoteReference w:id="24"/>
      </w:r>
      <w:r w:rsidR="00AC29DF" w:rsidRPr="00AC29DF">
        <w:rPr>
          <w:rFonts w:ascii="Times New Roman" w:hAnsi="Times New Roman" w:cs="Times New Roman"/>
          <w:lang w:val="en-GB"/>
        </w:rPr>
        <w:t>.</w:t>
      </w:r>
      <w:r w:rsidR="00AC29DF" w:rsidRPr="00AC29DF">
        <w:rPr>
          <w:rFonts w:ascii="Times New Roman" w:hAnsi="Times New Roman" w:cs="Times New Roman"/>
        </w:rPr>
        <w:t xml:space="preserve"> </w:t>
      </w:r>
      <w:r w:rsidR="00AC29DF">
        <w:rPr>
          <w:rFonts w:ascii="Times New Roman" w:hAnsi="Times New Roman" w:cs="Times New Roman"/>
        </w:rPr>
        <w:t xml:space="preserve"> A collective opinion that the US was unstable as a political state combined with its </w:t>
      </w:r>
      <w:r w:rsidR="005917DC">
        <w:rPr>
          <w:rFonts w:ascii="Times New Roman" w:hAnsi="Times New Roman" w:cs="Times New Roman"/>
        </w:rPr>
        <w:t>contribution to war</w:t>
      </w:r>
      <w:r w:rsidR="008974C1">
        <w:rPr>
          <w:rFonts w:ascii="Times New Roman" w:hAnsi="Times New Roman" w:cs="Times New Roman"/>
        </w:rPr>
        <w:t xml:space="preserve"> inspired new ways of self-expression</w:t>
      </w:r>
      <w:r w:rsidR="00611230">
        <w:rPr>
          <w:rFonts w:ascii="Times New Roman" w:hAnsi="Times New Roman" w:cs="Times New Roman"/>
        </w:rPr>
        <w:t xml:space="preserve"> for </w:t>
      </w:r>
      <w:r w:rsidR="00913750">
        <w:rPr>
          <w:rFonts w:ascii="Times New Roman" w:hAnsi="Times New Roman" w:cs="Times New Roman"/>
        </w:rPr>
        <w:t>members of hippiedom</w:t>
      </w:r>
      <w:r w:rsidR="002910E5">
        <w:rPr>
          <w:rStyle w:val="FootnoteReference"/>
          <w:rFonts w:ascii="Times New Roman" w:hAnsi="Times New Roman" w:cs="Times New Roman"/>
        </w:rPr>
        <w:footnoteReference w:id="25"/>
      </w:r>
      <w:bookmarkStart w:id="7" w:name="_Hlk100745972"/>
      <w:r w:rsidR="00AC29DF">
        <w:rPr>
          <w:rFonts w:ascii="Times New Roman" w:hAnsi="Times New Roman" w:cs="Times New Roman"/>
        </w:rPr>
        <w:t xml:space="preserve">. </w:t>
      </w:r>
      <w:r w:rsidR="00BD19DF">
        <w:rPr>
          <w:rFonts w:ascii="Times New Roman" w:hAnsi="Times New Roman" w:cs="Times New Roman"/>
        </w:rPr>
        <w:t>Trending pieces</w:t>
      </w:r>
      <w:r w:rsidR="00913750">
        <w:rPr>
          <w:rFonts w:ascii="Times New Roman" w:hAnsi="Times New Roman" w:cs="Times New Roman"/>
        </w:rPr>
        <w:t xml:space="preserve"> such as </w:t>
      </w:r>
      <w:r w:rsidR="00BD19DF">
        <w:rPr>
          <w:rFonts w:ascii="Times New Roman" w:hAnsi="Times New Roman" w:cs="Times New Roman"/>
        </w:rPr>
        <w:t>bell-bottoms</w:t>
      </w:r>
      <w:r w:rsidR="00CA12C2">
        <w:rPr>
          <w:rFonts w:ascii="Times New Roman" w:hAnsi="Times New Roman" w:cs="Times New Roman"/>
        </w:rPr>
        <w:t>, short skirt</w:t>
      </w:r>
      <w:r w:rsidR="00913750">
        <w:rPr>
          <w:rFonts w:ascii="Times New Roman" w:hAnsi="Times New Roman" w:cs="Times New Roman"/>
        </w:rPr>
        <w:t xml:space="preserve">s and </w:t>
      </w:r>
      <w:r w:rsidR="00BD19DF">
        <w:rPr>
          <w:rFonts w:ascii="Times New Roman" w:hAnsi="Times New Roman" w:cs="Times New Roman"/>
        </w:rPr>
        <w:t xml:space="preserve">clothing with </w:t>
      </w:r>
      <w:r w:rsidR="00913750">
        <w:rPr>
          <w:rFonts w:ascii="Times New Roman" w:hAnsi="Times New Roman" w:cs="Times New Roman"/>
        </w:rPr>
        <w:t xml:space="preserve">abstract patterns </w:t>
      </w:r>
      <w:r w:rsidR="00BD19DF">
        <w:rPr>
          <w:rFonts w:ascii="Times New Roman" w:hAnsi="Times New Roman" w:cs="Times New Roman"/>
        </w:rPr>
        <w:t>defined</w:t>
      </w:r>
      <w:r w:rsidR="00913750">
        <w:rPr>
          <w:rFonts w:ascii="Times New Roman" w:hAnsi="Times New Roman" w:cs="Times New Roman"/>
        </w:rPr>
        <w:t xml:space="preserve"> counterculture</w:t>
      </w:r>
      <w:r w:rsidR="00BD19DF">
        <w:rPr>
          <w:rFonts w:ascii="Times New Roman" w:hAnsi="Times New Roman" w:cs="Times New Roman"/>
        </w:rPr>
        <w:t xml:space="preserve"> aestheticism</w:t>
      </w:r>
      <w:r w:rsidR="00913750">
        <w:rPr>
          <w:rFonts w:ascii="Times New Roman" w:hAnsi="Times New Roman" w:cs="Times New Roman"/>
        </w:rPr>
        <w:t xml:space="preserve">. </w:t>
      </w:r>
      <w:r w:rsidR="0000156C">
        <w:rPr>
          <w:rFonts w:ascii="Times New Roman" w:hAnsi="Times New Roman" w:cs="Times New Roman"/>
        </w:rPr>
        <w:t xml:space="preserve">Lytle remarks in his article ‘Making Sense of The Sixties’ that the iconic </w:t>
      </w:r>
      <w:r w:rsidR="00553198">
        <w:rPr>
          <w:rFonts w:ascii="Times New Roman" w:hAnsi="Times New Roman" w:cs="Times New Roman"/>
        </w:rPr>
        <w:t>fashions</w:t>
      </w:r>
      <w:r w:rsidR="0000156C">
        <w:rPr>
          <w:rFonts w:ascii="Times New Roman" w:hAnsi="Times New Roman" w:cs="Times New Roman"/>
        </w:rPr>
        <w:t xml:space="preserve"> of the Sixties </w:t>
      </w:r>
      <w:r w:rsidR="00553198">
        <w:rPr>
          <w:rFonts w:ascii="Times New Roman" w:hAnsi="Times New Roman" w:cs="Times New Roman"/>
        </w:rPr>
        <w:t xml:space="preserve">were </w:t>
      </w:r>
      <w:r w:rsidR="0000156C">
        <w:rPr>
          <w:rFonts w:ascii="Times New Roman" w:hAnsi="Times New Roman" w:cs="Times New Roman"/>
        </w:rPr>
        <w:t>not ‘simply fads like the hula-hoops, poodle skirts and bikinis of the conformist Fifties’</w:t>
      </w:r>
      <w:r w:rsidR="00553198">
        <w:rPr>
          <w:rStyle w:val="FootnoteReference"/>
          <w:rFonts w:ascii="Times New Roman" w:hAnsi="Times New Roman" w:cs="Times New Roman"/>
        </w:rPr>
        <w:footnoteReference w:id="26"/>
      </w:r>
      <w:r w:rsidR="0000156C">
        <w:rPr>
          <w:rFonts w:ascii="Times New Roman" w:hAnsi="Times New Roman" w:cs="Times New Roman"/>
        </w:rPr>
        <w:t>, he argues that</w:t>
      </w:r>
      <w:r w:rsidR="00A77865">
        <w:rPr>
          <w:rFonts w:ascii="Times New Roman" w:hAnsi="Times New Roman" w:cs="Times New Roman"/>
        </w:rPr>
        <w:t xml:space="preserve"> t</w:t>
      </w:r>
      <w:r w:rsidR="009968AC">
        <w:rPr>
          <w:rFonts w:ascii="Times New Roman" w:hAnsi="Times New Roman" w:cs="Times New Roman"/>
        </w:rPr>
        <w:t>h</w:t>
      </w:r>
      <w:r w:rsidR="00A77865">
        <w:rPr>
          <w:rFonts w:ascii="Times New Roman" w:hAnsi="Times New Roman" w:cs="Times New Roman"/>
        </w:rPr>
        <w:t>ese fashions</w:t>
      </w:r>
      <w:r w:rsidR="009968AC">
        <w:rPr>
          <w:rFonts w:ascii="Times New Roman" w:hAnsi="Times New Roman" w:cs="Times New Roman"/>
        </w:rPr>
        <w:t xml:space="preserve"> </w:t>
      </w:r>
      <w:r w:rsidR="00A77865">
        <w:rPr>
          <w:rFonts w:ascii="Times New Roman" w:hAnsi="Times New Roman" w:cs="Times New Roman"/>
        </w:rPr>
        <w:t>‘</w:t>
      </w:r>
      <w:r w:rsidR="009968AC">
        <w:rPr>
          <w:rFonts w:ascii="Times New Roman" w:hAnsi="Times New Roman" w:cs="Times New Roman"/>
        </w:rPr>
        <w:t>struck many in authority as symbols of defiance so disturbing that they justified official repressi</w:t>
      </w:r>
      <w:r w:rsidR="00313CEE">
        <w:rPr>
          <w:rFonts w:ascii="Times New Roman" w:hAnsi="Times New Roman" w:cs="Times New Roman"/>
        </w:rPr>
        <w:t>on’</w:t>
      </w:r>
      <w:r w:rsidR="00313CEE">
        <w:rPr>
          <w:rStyle w:val="FootnoteReference"/>
          <w:rFonts w:ascii="Times New Roman" w:hAnsi="Times New Roman" w:cs="Times New Roman"/>
        </w:rPr>
        <w:footnoteReference w:id="27"/>
      </w:r>
    </w:p>
    <w:p w14:paraId="19DDD917" w14:textId="77777777" w:rsidR="0071434D" w:rsidRDefault="00511A08" w:rsidP="00586EFE">
      <w:pPr>
        <w:spacing w:line="480" w:lineRule="auto"/>
        <w:rPr>
          <w:rFonts w:ascii="Times New Roman" w:hAnsi="Times New Roman" w:cs="Times New Roman"/>
        </w:rPr>
      </w:pPr>
      <w:r w:rsidRPr="00511A08">
        <w:rPr>
          <w:rFonts w:ascii="Times New Roman" w:hAnsi="Times New Roman" w:cs="Times New Roman"/>
        </w:rPr>
        <w:t xml:space="preserve">An article published in </w:t>
      </w:r>
      <w:r w:rsidRPr="00511A08">
        <w:rPr>
          <w:rFonts w:ascii="Times New Roman" w:hAnsi="Times New Roman" w:cs="Times New Roman"/>
          <w:i/>
          <w:iCs/>
        </w:rPr>
        <w:t>The New York Times</w:t>
      </w:r>
      <w:r w:rsidRPr="00511A08">
        <w:rPr>
          <w:rFonts w:ascii="Times New Roman" w:hAnsi="Times New Roman" w:cs="Times New Roman"/>
        </w:rPr>
        <w:t xml:space="preserve"> in 1967 recognised protesting as a ‘demonstration (that) is both a moral gesture and a political act.’</w:t>
      </w:r>
      <w:r w:rsidRPr="00511A08">
        <w:rPr>
          <w:rFonts w:ascii="Times New Roman" w:hAnsi="Times New Roman" w:cs="Times New Roman"/>
          <w:vertAlign w:val="superscript"/>
        </w:rPr>
        <w:footnoteReference w:id="28"/>
      </w:r>
      <w:r w:rsidRPr="00511A08">
        <w:rPr>
          <w:rFonts w:ascii="Times New Roman" w:hAnsi="Times New Roman" w:cs="Times New Roman"/>
        </w:rPr>
        <w:t xml:space="preserve"> Youths chose to express this intersection between morality and political justice through their </w:t>
      </w:r>
      <w:r>
        <w:rPr>
          <w:rFonts w:ascii="Times New Roman" w:hAnsi="Times New Roman" w:cs="Times New Roman"/>
        </w:rPr>
        <w:t>clothing</w:t>
      </w:r>
      <w:r w:rsidRPr="00511A08">
        <w:rPr>
          <w:rFonts w:ascii="Times New Roman" w:hAnsi="Times New Roman" w:cs="Times New Roman"/>
        </w:rPr>
        <w:t xml:space="preserve">. </w:t>
      </w:r>
      <w:r w:rsidR="000A1814">
        <w:rPr>
          <w:rFonts w:ascii="Times New Roman" w:hAnsi="Times New Roman" w:cs="Times New Roman"/>
        </w:rPr>
        <w:t>Th</w:t>
      </w:r>
      <w:r w:rsidR="00313CEE">
        <w:rPr>
          <w:rFonts w:ascii="Times New Roman" w:hAnsi="Times New Roman" w:cs="Times New Roman"/>
        </w:rPr>
        <w:t xml:space="preserve">e wearing of such modern and alternative </w:t>
      </w:r>
      <w:r>
        <w:rPr>
          <w:rFonts w:ascii="Times New Roman" w:hAnsi="Times New Roman" w:cs="Times New Roman"/>
        </w:rPr>
        <w:t>pieces</w:t>
      </w:r>
      <w:r w:rsidR="00313CEE">
        <w:rPr>
          <w:rFonts w:ascii="Times New Roman" w:hAnsi="Times New Roman" w:cs="Times New Roman"/>
        </w:rPr>
        <w:t xml:space="preserve"> by members of these protests lead to the</w:t>
      </w:r>
      <w:r w:rsidR="000A1814">
        <w:rPr>
          <w:rFonts w:ascii="Times New Roman" w:hAnsi="Times New Roman" w:cs="Times New Roman"/>
        </w:rPr>
        <w:t xml:space="preserve"> politicisation of</w:t>
      </w:r>
      <w:r w:rsidR="00A508D9">
        <w:rPr>
          <w:rFonts w:ascii="Times New Roman" w:hAnsi="Times New Roman" w:cs="Times New Roman"/>
        </w:rPr>
        <w:t xml:space="preserve"> trending</w:t>
      </w:r>
      <w:r w:rsidR="000A1814">
        <w:rPr>
          <w:rFonts w:ascii="Times New Roman" w:hAnsi="Times New Roman" w:cs="Times New Roman"/>
        </w:rPr>
        <w:t xml:space="preserve"> </w:t>
      </w:r>
      <w:r w:rsidR="00313CEE">
        <w:rPr>
          <w:rFonts w:ascii="Times New Roman" w:hAnsi="Times New Roman" w:cs="Times New Roman"/>
        </w:rPr>
        <w:t>fashion</w:t>
      </w:r>
      <w:r w:rsidR="00A508D9">
        <w:rPr>
          <w:rFonts w:ascii="Times New Roman" w:hAnsi="Times New Roman" w:cs="Times New Roman"/>
        </w:rPr>
        <w:t xml:space="preserve"> item</w:t>
      </w:r>
      <w:r w:rsidR="00313CEE">
        <w:rPr>
          <w:rFonts w:ascii="Times New Roman" w:hAnsi="Times New Roman" w:cs="Times New Roman"/>
        </w:rPr>
        <w:t>s. These pieces represented</w:t>
      </w:r>
      <w:r w:rsidR="000A1814">
        <w:rPr>
          <w:rFonts w:ascii="Times New Roman" w:hAnsi="Times New Roman" w:cs="Times New Roman"/>
        </w:rPr>
        <w:t xml:space="preserve"> a rebellion </w:t>
      </w:r>
      <w:r w:rsidR="00A508D9">
        <w:rPr>
          <w:rFonts w:ascii="Times New Roman" w:hAnsi="Times New Roman" w:cs="Times New Roman"/>
        </w:rPr>
        <w:t>against</w:t>
      </w:r>
      <w:r w:rsidR="006D0C74">
        <w:rPr>
          <w:rFonts w:ascii="Times New Roman" w:hAnsi="Times New Roman" w:cs="Times New Roman"/>
        </w:rPr>
        <w:t xml:space="preserve"> several social issues, and </w:t>
      </w:r>
      <w:r w:rsidR="00A508D9">
        <w:rPr>
          <w:rFonts w:ascii="Times New Roman" w:hAnsi="Times New Roman" w:cs="Times New Roman"/>
        </w:rPr>
        <w:t>against</w:t>
      </w:r>
      <w:r w:rsidR="000A1814">
        <w:rPr>
          <w:rFonts w:ascii="Times New Roman" w:hAnsi="Times New Roman" w:cs="Times New Roman"/>
        </w:rPr>
        <w:t xml:space="preserve"> conformist living in its totality.</w:t>
      </w:r>
      <w:r w:rsidR="006D0C74">
        <w:rPr>
          <w:rStyle w:val="FootnoteReference"/>
          <w:rFonts w:ascii="Times New Roman" w:hAnsi="Times New Roman" w:cs="Times New Roman"/>
        </w:rPr>
        <w:footnoteReference w:id="29"/>
      </w:r>
      <w:r w:rsidR="000A1814">
        <w:rPr>
          <w:rFonts w:ascii="Times New Roman" w:hAnsi="Times New Roman" w:cs="Times New Roman"/>
        </w:rPr>
        <w:t xml:space="preserve"> </w:t>
      </w:r>
      <w:r w:rsidR="00313CEE">
        <w:rPr>
          <w:rFonts w:ascii="Times New Roman" w:hAnsi="Times New Roman" w:cs="Times New Roman"/>
        </w:rPr>
        <w:t>Primarily, youths sought peace from the war</w:t>
      </w:r>
      <w:r w:rsidR="006D0C74">
        <w:rPr>
          <w:rFonts w:ascii="Times New Roman" w:hAnsi="Times New Roman" w:cs="Times New Roman"/>
        </w:rPr>
        <w:t xml:space="preserve"> in Vietnam and protested for the US’s withdrawal from conflict.</w:t>
      </w:r>
      <w:r w:rsidR="008D4DD6">
        <w:rPr>
          <w:rFonts w:ascii="Times New Roman" w:hAnsi="Times New Roman" w:cs="Times New Roman"/>
        </w:rPr>
        <w:t xml:space="preserve"> Young males from the ages of eighteen to twenty-five were drafted</w:t>
      </w:r>
      <w:r w:rsidR="006568E7">
        <w:rPr>
          <w:rFonts w:ascii="Times New Roman" w:hAnsi="Times New Roman" w:cs="Times New Roman"/>
        </w:rPr>
        <w:t xml:space="preserve"> through the Selective Service System</w:t>
      </w:r>
      <w:r w:rsidR="008D4DD6">
        <w:rPr>
          <w:rFonts w:ascii="Times New Roman" w:hAnsi="Times New Roman" w:cs="Times New Roman"/>
        </w:rPr>
        <w:t xml:space="preserve"> across the US to fight in Vietnam</w:t>
      </w:r>
      <w:r w:rsidR="008D4DD6">
        <w:rPr>
          <w:rStyle w:val="FootnoteReference"/>
          <w:rFonts w:ascii="Times New Roman" w:hAnsi="Times New Roman" w:cs="Times New Roman"/>
        </w:rPr>
        <w:footnoteReference w:id="30"/>
      </w:r>
      <w:r w:rsidR="001F7DDC">
        <w:rPr>
          <w:rFonts w:ascii="Times New Roman" w:hAnsi="Times New Roman" w:cs="Times New Roman"/>
        </w:rPr>
        <w:t>. This was</w:t>
      </w:r>
      <w:r w:rsidR="0058006C">
        <w:rPr>
          <w:rFonts w:ascii="Times New Roman" w:hAnsi="Times New Roman" w:cs="Times New Roman"/>
        </w:rPr>
        <w:t xml:space="preserve"> </w:t>
      </w:r>
      <w:r w:rsidR="008D4DD6">
        <w:rPr>
          <w:rFonts w:ascii="Times New Roman" w:hAnsi="Times New Roman" w:cs="Times New Roman"/>
        </w:rPr>
        <w:t>something that college students were also passionately agains</w:t>
      </w:r>
      <w:r w:rsidR="00ED2297">
        <w:rPr>
          <w:rFonts w:ascii="Times New Roman" w:hAnsi="Times New Roman" w:cs="Times New Roman"/>
        </w:rPr>
        <w:t>t</w:t>
      </w:r>
      <w:r w:rsidR="008D4DD6">
        <w:rPr>
          <w:rFonts w:ascii="Times New Roman" w:hAnsi="Times New Roman" w:cs="Times New Roman"/>
        </w:rPr>
        <w:t xml:space="preserve">. </w:t>
      </w:r>
      <w:r w:rsidR="009E7E9E">
        <w:rPr>
          <w:rFonts w:ascii="Times New Roman" w:hAnsi="Times New Roman" w:cs="Times New Roman"/>
        </w:rPr>
        <w:t>Peace protests began in the early sixties on a small scale on college campuses across the US.</w:t>
      </w:r>
      <w:r w:rsidR="009E7E9E">
        <w:rPr>
          <w:rStyle w:val="FootnoteReference"/>
          <w:rFonts w:ascii="Times New Roman" w:hAnsi="Times New Roman" w:cs="Times New Roman"/>
        </w:rPr>
        <w:footnoteReference w:id="31"/>
      </w:r>
      <w:r w:rsidR="009E7E9E">
        <w:rPr>
          <w:rFonts w:ascii="Times New Roman" w:hAnsi="Times New Roman" w:cs="Times New Roman"/>
        </w:rPr>
        <w:t xml:space="preserve"> Students understood the power of symbolism and incorporated this into their dress, wearing free-flowing garments with colourful patterns. This fashion style was an entirely new concept to th</w:t>
      </w:r>
      <w:r w:rsidR="00614959">
        <w:rPr>
          <w:rFonts w:ascii="Times New Roman" w:hAnsi="Times New Roman" w:cs="Times New Roman"/>
        </w:rPr>
        <w:t>eir senior</w:t>
      </w:r>
      <w:r w:rsidR="00240092">
        <w:rPr>
          <w:rFonts w:ascii="Times New Roman" w:hAnsi="Times New Roman" w:cs="Times New Roman"/>
        </w:rPr>
        <w:t xml:space="preserve"> </w:t>
      </w:r>
      <w:r w:rsidR="00614959">
        <w:rPr>
          <w:rFonts w:ascii="Times New Roman" w:hAnsi="Times New Roman" w:cs="Times New Roman"/>
        </w:rPr>
        <w:t>Silent Generation</w:t>
      </w:r>
      <w:r w:rsidR="00614959">
        <w:rPr>
          <w:rStyle w:val="FootnoteReference"/>
          <w:rFonts w:ascii="Times New Roman" w:hAnsi="Times New Roman" w:cs="Times New Roman"/>
        </w:rPr>
        <w:footnoteReference w:id="32"/>
      </w:r>
      <w:r w:rsidR="00240092">
        <w:rPr>
          <w:rFonts w:ascii="Times New Roman" w:hAnsi="Times New Roman" w:cs="Times New Roman"/>
        </w:rPr>
        <w:t xml:space="preserve"> who</w:t>
      </w:r>
      <w:r w:rsidR="00614959">
        <w:rPr>
          <w:rFonts w:ascii="Times New Roman" w:hAnsi="Times New Roman" w:cs="Times New Roman"/>
        </w:rPr>
        <w:t xml:space="preserve"> had </w:t>
      </w:r>
      <w:r w:rsidR="00237765">
        <w:rPr>
          <w:rFonts w:ascii="Times New Roman" w:hAnsi="Times New Roman" w:cs="Times New Roman"/>
        </w:rPr>
        <w:t xml:space="preserve">not </w:t>
      </w:r>
      <w:r w:rsidR="00614959">
        <w:rPr>
          <w:rFonts w:ascii="Times New Roman" w:hAnsi="Times New Roman" w:cs="Times New Roman"/>
        </w:rPr>
        <w:t xml:space="preserve">experienced such emphasis on self-expression for </w:t>
      </w:r>
      <w:r w:rsidR="00025D48">
        <w:rPr>
          <w:rFonts w:ascii="Times New Roman" w:hAnsi="Times New Roman" w:cs="Times New Roman"/>
        </w:rPr>
        <w:t>political</w:t>
      </w:r>
      <w:r w:rsidR="00237765">
        <w:rPr>
          <w:rFonts w:ascii="Times New Roman" w:hAnsi="Times New Roman" w:cs="Times New Roman"/>
        </w:rPr>
        <w:t xml:space="preserve"> gain</w:t>
      </w:r>
      <w:r w:rsidR="008B5FBF">
        <w:rPr>
          <w:rFonts w:ascii="Times New Roman" w:hAnsi="Times New Roman" w:cs="Times New Roman"/>
        </w:rPr>
        <w:t>.</w:t>
      </w:r>
      <w:r w:rsidR="00BB44CE">
        <w:rPr>
          <w:rFonts w:ascii="Times New Roman" w:hAnsi="Times New Roman" w:cs="Times New Roman"/>
        </w:rPr>
        <w:t xml:space="preserve"> </w:t>
      </w:r>
    </w:p>
    <w:p w14:paraId="4DAA0F44" w14:textId="71174CD2" w:rsidR="004068FD" w:rsidRDefault="00BB44CE" w:rsidP="0071434D">
      <w:pPr>
        <w:spacing w:line="480" w:lineRule="auto"/>
        <w:rPr>
          <w:rFonts w:ascii="Times New Roman" w:hAnsi="Times New Roman" w:cs="Times New Roman"/>
        </w:rPr>
      </w:pPr>
      <w:r>
        <w:rPr>
          <w:rFonts w:ascii="Times New Roman" w:hAnsi="Times New Roman" w:cs="Times New Roman"/>
        </w:rPr>
        <w:lastRenderedPageBreak/>
        <w:t xml:space="preserve">College students, as recognised by </w:t>
      </w:r>
      <w:proofErr w:type="spellStart"/>
      <w:r w:rsidR="00D2742C">
        <w:rPr>
          <w:rFonts w:ascii="Times New Roman" w:hAnsi="Times New Roman" w:cs="Times New Roman"/>
        </w:rPr>
        <w:t>Jeremi</w:t>
      </w:r>
      <w:proofErr w:type="spellEnd"/>
      <w:r w:rsidR="00D2742C">
        <w:rPr>
          <w:rFonts w:ascii="Times New Roman" w:hAnsi="Times New Roman" w:cs="Times New Roman"/>
        </w:rPr>
        <w:t xml:space="preserve"> </w:t>
      </w:r>
      <w:r>
        <w:rPr>
          <w:rFonts w:ascii="Times New Roman" w:hAnsi="Times New Roman" w:cs="Times New Roman"/>
        </w:rPr>
        <w:t>Suri in his article ‘</w:t>
      </w:r>
      <w:r w:rsidRPr="00BB44CE">
        <w:rPr>
          <w:rFonts w:ascii="Times New Roman" w:hAnsi="Times New Roman" w:cs="Times New Roman"/>
        </w:rPr>
        <w:t>The Rise and Fall of an International Counterculture</w:t>
      </w:r>
      <w:r w:rsidR="00251CC3">
        <w:rPr>
          <w:rFonts w:ascii="Times New Roman" w:hAnsi="Times New Roman" w:cs="Times New Roman"/>
        </w:rPr>
        <w:t>’</w:t>
      </w:r>
      <w:r>
        <w:rPr>
          <w:rFonts w:ascii="Times New Roman" w:hAnsi="Times New Roman" w:cs="Times New Roman"/>
        </w:rPr>
        <w:t>, were political constituencies who ‘questioned basic social</w:t>
      </w:r>
      <w:r w:rsidR="0071434D">
        <w:rPr>
          <w:rFonts w:ascii="Times New Roman" w:hAnsi="Times New Roman" w:cs="Times New Roman"/>
        </w:rPr>
        <w:t xml:space="preserve"> </w:t>
      </w:r>
      <w:r>
        <w:rPr>
          <w:rFonts w:ascii="Times New Roman" w:hAnsi="Times New Roman" w:cs="Times New Roman"/>
        </w:rPr>
        <w:t>assumptions’.</w:t>
      </w:r>
      <w:r>
        <w:rPr>
          <w:rStyle w:val="FootnoteReference"/>
          <w:rFonts w:ascii="Times New Roman" w:hAnsi="Times New Roman" w:cs="Times New Roman"/>
        </w:rPr>
        <w:footnoteReference w:id="33"/>
      </w:r>
      <w:r>
        <w:rPr>
          <w:rFonts w:ascii="Times New Roman" w:hAnsi="Times New Roman" w:cs="Times New Roman"/>
        </w:rPr>
        <w:t xml:space="preserve"> Suri explains </w:t>
      </w:r>
      <w:r w:rsidR="007C0747">
        <w:rPr>
          <w:rFonts w:ascii="Times New Roman" w:hAnsi="Times New Roman" w:cs="Times New Roman"/>
        </w:rPr>
        <w:t>that these children of a ‘generally affluent generation’ were “deeply engrossed in the search for some newer means of arriving at moral values’.</w:t>
      </w:r>
      <w:r w:rsidR="0071434D">
        <w:rPr>
          <w:rStyle w:val="FootnoteReference"/>
          <w:rFonts w:ascii="Times New Roman" w:hAnsi="Times New Roman" w:cs="Times New Roman"/>
        </w:rPr>
        <w:footnoteReference w:id="34"/>
      </w:r>
      <w:r w:rsidR="00ED3E1D">
        <w:rPr>
          <w:rFonts w:ascii="Times New Roman" w:hAnsi="Times New Roman" w:cs="Times New Roman"/>
        </w:rPr>
        <w:t xml:space="preserve"> </w:t>
      </w:r>
      <w:r w:rsidR="00F01D66" w:rsidRPr="00F01D66">
        <w:rPr>
          <w:rFonts w:ascii="Times New Roman" w:hAnsi="Times New Roman" w:cs="Times New Roman"/>
        </w:rPr>
        <w:t xml:space="preserve">A 1966 article in </w:t>
      </w:r>
      <w:r w:rsidR="00F01D66" w:rsidRPr="00F01D66">
        <w:rPr>
          <w:rFonts w:ascii="Times New Roman" w:hAnsi="Times New Roman" w:cs="Times New Roman"/>
          <w:i/>
          <w:iCs/>
        </w:rPr>
        <w:t xml:space="preserve">The New York Times </w:t>
      </w:r>
      <w:r w:rsidR="00F01D66" w:rsidRPr="00F01D66">
        <w:rPr>
          <w:rFonts w:ascii="Times New Roman" w:hAnsi="Times New Roman" w:cs="Times New Roman"/>
        </w:rPr>
        <w:t>reads: ‘the Vietnam conflict has nevertheless generated an intellectual, moral and ideological upheaval passionately centred among American young people’.</w:t>
      </w:r>
      <w:r w:rsidR="00F01D66" w:rsidRPr="00F01D66">
        <w:rPr>
          <w:rFonts w:ascii="Times New Roman" w:hAnsi="Times New Roman" w:cs="Times New Roman"/>
          <w:vertAlign w:val="superscript"/>
        </w:rPr>
        <w:footnoteReference w:id="35"/>
      </w:r>
      <w:r w:rsidR="00F01D66" w:rsidRPr="00F01D66">
        <w:rPr>
          <w:rFonts w:ascii="Times New Roman" w:hAnsi="Times New Roman" w:cs="Times New Roman"/>
        </w:rPr>
        <w:t xml:space="preserve"> </w:t>
      </w:r>
      <w:r w:rsidR="00ED3E1D">
        <w:rPr>
          <w:rFonts w:ascii="Times New Roman" w:hAnsi="Times New Roman" w:cs="Times New Roman"/>
        </w:rPr>
        <w:t xml:space="preserve">Despite the original purpose of these peace protests being a demonstrative opposition to the war in Vietnam, the effect these protests had culturally is arguably their most primitive aspect. </w:t>
      </w:r>
    </w:p>
    <w:p w14:paraId="46CBF472" w14:textId="4112B1DD" w:rsidR="00E51101" w:rsidRDefault="00CC0343" w:rsidP="00DF604C">
      <w:pPr>
        <w:spacing w:line="480" w:lineRule="auto"/>
        <w:rPr>
          <w:rFonts w:ascii="Times New Roman" w:hAnsi="Times New Roman" w:cs="Times New Roman"/>
        </w:rPr>
      </w:pPr>
      <w:r>
        <w:rPr>
          <w:rFonts w:ascii="Times New Roman" w:hAnsi="Times New Roman" w:cs="Times New Roman"/>
        </w:rPr>
        <w:t>Fashion discourse, as noted by</w:t>
      </w:r>
      <w:r w:rsidR="00097181">
        <w:rPr>
          <w:rFonts w:ascii="Times New Roman" w:hAnsi="Times New Roman" w:cs="Times New Roman"/>
        </w:rPr>
        <w:t xml:space="preserve"> Cheryl</w:t>
      </w:r>
      <w:r>
        <w:rPr>
          <w:rFonts w:ascii="Times New Roman" w:hAnsi="Times New Roman" w:cs="Times New Roman"/>
        </w:rPr>
        <w:t xml:space="preserve"> Buckley and </w:t>
      </w:r>
      <w:r w:rsidR="00097181">
        <w:rPr>
          <w:rFonts w:ascii="Times New Roman" w:hAnsi="Times New Roman" w:cs="Times New Roman"/>
        </w:rPr>
        <w:t xml:space="preserve">Hazel </w:t>
      </w:r>
      <w:r>
        <w:rPr>
          <w:rFonts w:ascii="Times New Roman" w:hAnsi="Times New Roman" w:cs="Times New Roman"/>
        </w:rPr>
        <w:t xml:space="preserve">Clark in their article: ‘Conceptualising Fashion in Everyday Lives’ can be </w:t>
      </w:r>
      <w:r w:rsidR="0088354F">
        <w:rPr>
          <w:rFonts w:ascii="Times New Roman" w:hAnsi="Times New Roman" w:cs="Times New Roman"/>
        </w:rPr>
        <w:t>explored</w:t>
      </w:r>
      <w:r>
        <w:rPr>
          <w:rFonts w:ascii="Times New Roman" w:hAnsi="Times New Roman" w:cs="Times New Roman"/>
        </w:rPr>
        <w:t xml:space="preserve"> through three key themes: </w:t>
      </w:r>
      <w:r w:rsidRPr="00CC0343">
        <w:rPr>
          <w:rFonts w:ascii="Times New Roman" w:hAnsi="Times New Roman" w:cs="Times New Roman"/>
        </w:rPr>
        <w:t>the routine element</w:t>
      </w:r>
      <w:r w:rsidR="008C36D8">
        <w:rPr>
          <w:rFonts w:ascii="Times New Roman" w:hAnsi="Times New Roman" w:cs="Times New Roman"/>
        </w:rPr>
        <w:t xml:space="preserve"> </w:t>
      </w:r>
      <w:r w:rsidRPr="00CC0343">
        <w:rPr>
          <w:rFonts w:ascii="Times New Roman" w:hAnsi="Times New Roman" w:cs="Times New Roman"/>
        </w:rPr>
        <w:t xml:space="preserve">of fashion, historiographies of fashion, and </w:t>
      </w:r>
      <w:r w:rsidR="008C36D8">
        <w:rPr>
          <w:rFonts w:ascii="Times New Roman" w:hAnsi="Times New Roman" w:cs="Times New Roman"/>
        </w:rPr>
        <w:t xml:space="preserve">the </w:t>
      </w:r>
      <w:r w:rsidRPr="00CC0343">
        <w:rPr>
          <w:rFonts w:ascii="Times New Roman" w:hAnsi="Times New Roman" w:cs="Times New Roman"/>
        </w:rPr>
        <w:t>research methods that allow an investigation of fashion as an aspect of everyday life.</w:t>
      </w:r>
      <w:r w:rsidR="00950C35">
        <w:rPr>
          <w:rStyle w:val="FootnoteReference"/>
          <w:rFonts w:ascii="Times New Roman" w:hAnsi="Times New Roman" w:cs="Times New Roman"/>
        </w:rPr>
        <w:footnoteReference w:id="36"/>
      </w:r>
      <w:r w:rsidR="00950C35">
        <w:rPr>
          <w:rFonts w:ascii="Times New Roman" w:hAnsi="Times New Roman" w:cs="Times New Roman"/>
        </w:rPr>
        <w:t xml:space="preserve"> </w:t>
      </w:r>
      <w:r w:rsidR="008C36D8">
        <w:rPr>
          <w:rFonts w:ascii="Times New Roman" w:hAnsi="Times New Roman" w:cs="Times New Roman"/>
        </w:rPr>
        <w:t>Buckley and Clark emphasise the presence of fashion in everyday life, and the</w:t>
      </w:r>
      <w:r w:rsidR="00365F53">
        <w:rPr>
          <w:rFonts w:ascii="Times New Roman" w:hAnsi="Times New Roman" w:cs="Times New Roman"/>
        </w:rPr>
        <w:t xml:space="preserve"> power ‘simple fashions’</w:t>
      </w:r>
      <w:r w:rsidR="00365F53">
        <w:rPr>
          <w:rStyle w:val="FootnoteReference"/>
          <w:rFonts w:ascii="Times New Roman" w:hAnsi="Times New Roman" w:cs="Times New Roman"/>
        </w:rPr>
        <w:footnoteReference w:id="37"/>
      </w:r>
      <w:r w:rsidR="00365F53">
        <w:rPr>
          <w:rFonts w:ascii="Times New Roman" w:hAnsi="Times New Roman" w:cs="Times New Roman"/>
        </w:rPr>
        <w:t xml:space="preserve"> can hold within a society when worn by the majority</w:t>
      </w:r>
      <w:r w:rsidR="0055380D">
        <w:rPr>
          <w:rFonts w:ascii="Times New Roman" w:hAnsi="Times New Roman" w:cs="Times New Roman"/>
        </w:rPr>
        <w:t xml:space="preserve">. </w:t>
      </w:r>
      <w:r w:rsidR="008C36D8">
        <w:rPr>
          <w:rFonts w:ascii="Times New Roman" w:hAnsi="Times New Roman" w:cs="Times New Roman"/>
        </w:rPr>
        <w:t>This approach suggests th</w:t>
      </w:r>
      <w:r w:rsidR="00492F7E">
        <w:rPr>
          <w:rFonts w:ascii="Times New Roman" w:hAnsi="Times New Roman" w:cs="Times New Roman"/>
        </w:rPr>
        <w:t xml:space="preserve">at </w:t>
      </w:r>
      <w:r w:rsidR="00F11175">
        <w:rPr>
          <w:rFonts w:ascii="Times New Roman" w:hAnsi="Times New Roman" w:cs="Times New Roman"/>
        </w:rPr>
        <w:t>despite</w:t>
      </w:r>
      <w:r w:rsidR="008C36D8">
        <w:rPr>
          <w:rFonts w:ascii="Times New Roman" w:hAnsi="Times New Roman" w:cs="Times New Roman"/>
        </w:rPr>
        <w:t xml:space="preserve"> its conceptual nature</w:t>
      </w:r>
      <w:r w:rsidR="00F11175">
        <w:rPr>
          <w:rFonts w:ascii="Times New Roman" w:hAnsi="Times New Roman" w:cs="Times New Roman"/>
        </w:rPr>
        <w:t xml:space="preserve">, </w:t>
      </w:r>
      <w:r w:rsidR="008C36D8">
        <w:rPr>
          <w:rFonts w:ascii="Times New Roman" w:hAnsi="Times New Roman" w:cs="Times New Roman"/>
        </w:rPr>
        <w:t>fashion is</w:t>
      </w:r>
      <w:r w:rsidR="00F11175">
        <w:rPr>
          <w:rFonts w:ascii="Times New Roman" w:hAnsi="Times New Roman" w:cs="Times New Roman"/>
        </w:rPr>
        <w:t xml:space="preserve"> also </w:t>
      </w:r>
      <w:r w:rsidR="008C36D8">
        <w:rPr>
          <w:rFonts w:ascii="Times New Roman" w:hAnsi="Times New Roman" w:cs="Times New Roman"/>
        </w:rPr>
        <w:t xml:space="preserve">significantly </w:t>
      </w:r>
      <w:r w:rsidR="00492F7E">
        <w:rPr>
          <w:rFonts w:ascii="Times New Roman" w:hAnsi="Times New Roman" w:cs="Times New Roman"/>
        </w:rPr>
        <w:t>reflective of reality</w:t>
      </w:r>
      <w:r w:rsidR="008C36D8">
        <w:rPr>
          <w:rFonts w:ascii="Times New Roman" w:hAnsi="Times New Roman" w:cs="Times New Roman"/>
        </w:rPr>
        <w:t xml:space="preserve">. </w:t>
      </w:r>
      <w:r w:rsidR="00950C35">
        <w:rPr>
          <w:rFonts w:ascii="Times New Roman" w:hAnsi="Times New Roman" w:cs="Times New Roman"/>
        </w:rPr>
        <w:t>The word ‘fashion’ is indicative of modernity and is a concept recognised as something that “increasingly sharpens our sense of the present”.</w:t>
      </w:r>
      <w:r w:rsidR="00950C35">
        <w:rPr>
          <w:rStyle w:val="FootnoteReference"/>
          <w:rFonts w:ascii="Times New Roman" w:hAnsi="Times New Roman" w:cs="Times New Roman"/>
        </w:rPr>
        <w:footnoteReference w:id="38"/>
      </w:r>
      <w:r w:rsidR="00FA28D7">
        <w:rPr>
          <w:rFonts w:ascii="Times New Roman" w:hAnsi="Times New Roman" w:cs="Times New Roman"/>
        </w:rPr>
        <w:t xml:space="preserve"> Considering this framework, one might question what must occur </w:t>
      </w:r>
      <w:r w:rsidR="0055380D">
        <w:rPr>
          <w:rFonts w:ascii="Times New Roman" w:hAnsi="Times New Roman" w:cs="Times New Roman"/>
        </w:rPr>
        <w:t>for</w:t>
      </w:r>
      <w:r w:rsidR="00FA28D7">
        <w:rPr>
          <w:rFonts w:ascii="Times New Roman" w:hAnsi="Times New Roman" w:cs="Times New Roman"/>
        </w:rPr>
        <w:t xml:space="preserve"> a fashion trend to emerge. As previously mentioned, a period of fear or crisis such as the conflict in Vietnam can inspire rebellious fashion trends</w:t>
      </w:r>
      <w:r w:rsidR="002D3F2F">
        <w:rPr>
          <w:rFonts w:ascii="Times New Roman" w:hAnsi="Times New Roman" w:cs="Times New Roman"/>
        </w:rPr>
        <w:t>.</w:t>
      </w:r>
      <w:r w:rsidR="00A155B1">
        <w:rPr>
          <w:rFonts w:ascii="Times New Roman" w:hAnsi="Times New Roman" w:cs="Times New Roman"/>
        </w:rPr>
        <w:t xml:space="preserve"> </w:t>
      </w:r>
      <w:r w:rsidR="00887C95">
        <w:rPr>
          <w:rFonts w:ascii="Times New Roman" w:hAnsi="Times New Roman" w:cs="Times New Roman"/>
        </w:rPr>
        <w:t>Separate</w:t>
      </w:r>
      <w:r w:rsidR="00A155B1">
        <w:rPr>
          <w:rFonts w:ascii="Times New Roman" w:hAnsi="Times New Roman" w:cs="Times New Roman"/>
        </w:rPr>
        <w:t xml:space="preserve"> to the political significance of their clothing, h</w:t>
      </w:r>
      <w:r w:rsidR="002D3F2F">
        <w:rPr>
          <w:rFonts w:ascii="Times New Roman" w:hAnsi="Times New Roman" w:cs="Times New Roman"/>
        </w:rPr>
        <w:t>ippies believed the</w:t>
      </w:r>
      <w:r w:rsidR="00676778">
        <w:rPr>
          <w:rFonts w:ascii="Times New Roman" w:hAnsi="Times New Roman" w:cs="Times New Roman"/>
        </w:rPr>
        <w:t xml:space="preserve"> act of self-expression </w:t>
      </w:r>
      <w:r w:rsidR="002D3F2F">
        <w:rPr>
          <w:rFonts w:ascii="Times New Roman" w:hAnsi="Times New Roman" w:cs="Times New Roman"/>
        </w:rPr>
        <w:t>to be</w:t>
      </w:r>
      <w:r w:rsidR="0055380D">
        <w:rPr>
          <w:rFonts w:ascii="Times New Roman" w:hAnsi="Times New Roman" w:cs="Times New Roman"/>
        </w:rPr>
        <w:t xml:space="preserve"> personally liberating</w:t>
      </w:r>
      <w:r w:rsidR="00676778">
        <w:rPr>
          <w:rFonts w:ascii="Times New Roman" w:hAnsi="Times New Roman" w:cs="Times New Roman"/>
        </w:rPr>
        <w:t>.</w:t>
      </w:r>
      <w:r w:rsidR="0027367F">
        <w:rPr>
          <w:rStyle w:val="FootnoteReference"/>
          <w:rFonts w:ascii="Times New Roman" w:hAnsi="Times New Roman" w:cs="Times New Roman"/>
        </w:rPr>
        <w:footnoteReference w:id="39"/>
      </w:r>
      <w:r w:rsidR="00676778">
        <w:rPr>
          <w:rFonts w:ascii="Times New Roman" w:hAnsi="Times New Roman" w:cs="Times New Roman"/>
        </w:rPr>
        <w:t xml:space="preserve"> </w:t>
      </w:r>
      <w:r w:rsidR="00686879">
        <w:rPr>
          <w:rFonts w:ascii="Times New Roman" w:hAnsi="Times New Roman" w:cs="Times New Roman"/>
        </w:rPr>
        <w:t xml:space="preserve">It </w:t>
      </w:r>
      <w:r w:rsidR="00676778">
        <w:rPr>
          <w:rFonts w:ascii="Times New Roman" w:hAnsi="Times New Roman" w:cs="Times New Roman"/>
        </w:rPr>
        <w:t xml:space="preserve">can </w:t>
      </w:r>
      <w:r w:rsidR="00686879">
        <w:rPr>
          <w:rFonts w:ascii="Times New Roman" w:hAnsi="Times New Roman" w:cs="Times New Roman"/>
        </w:rPr>
        <w:t xml:space="preserve">therefore </w:t>
      </w:r>
      <w:r w:rsidR="00676778">
        <w:rPr>
          <w:rFonts w:ascii="Times New Roman" w:hAnsi="Times New Roman" w:cs="Times New Roman"/>
        </w:rPr>
        <w:t>be understood that</w:t>
      </w:r>
      <w:r w:rsidR="00686879">
        <w:rPr>
          <w:rFonts w:ascii="Times New Roman" w:hAnsi="Times New Roman" w:cs="Times New Roman"/>
        </w:rPr>
        <w:t xml:space="preserve"> the wearing of counterculture fashions during the peace protests</w:t>
      </w:r>
      <w:r w:rsidR="00676778">
        <w:rPr>
          <w:rFonts w:ascii="Times New Roman" w:hAnsi="Times New Roman" w:cs="Times New Roman"/>
        </w:rPr>
        <w:t xml:space="preserve"> </w:t>
      </w:r>
      <w:r w:rsidR="00686879">
        <w:rPr>
          <w:rFonts w:ascii="Times New Roman" w:hAnsi="Times New Roman" w:cs="Times New Roman"/>
        </w:rPr>
        <w:t>ha</w:t>
      </w:r>
      <w:r w:rsidR="00887C95">
        <w:rPr>
          <w:rFonts w:ascii="Times New Roman" w:hAnsi="Times New Roman" w:cs="Times New Roman"/>
        </w:rPr>
        <w:t xml:space="preserve">d </w:t>
      </w:r>
      <w:r w:rsidR="00676778">
        <w:rPr>
          <w:rFonts w:ascii="Times New Roman" w:hAnsi="Times New Roman" w:cs="Times New Roman"/>
        </w:rPr>
        <w:t>both political and cultural implications</w:t>
      </w:r>
      <w:r w:rsidR="00686879">
        <w:rPr>
          <w:rFonts w:ascii="Times New Roman" w:hAnsi="Times New Roman" w:cs="Times New Roman"/>
        </w:rPr>
        <w:t xml:space="preserve">, some of which were intentional and some not. </w:t>
      </w:r>
    </w:p>
    <w:p w14:paraId="39F07780" w14:textId="77777777" w:rsidR="009570F1" w:rsidRDefault="009570F1" w:rsidP="00DF604C">
      <w:pPr>
        <w:spacing w:line="480" w:lineRule="auto"/>
        <w:rPr>
          <w:rFonts w:ascii="Times New Roman" w:hAnsi="Times New Roman" w:cs="Times New Roman"/>
        </w:rPr>
      </w:pPr>
    </w:p>
    <w:p w14:paraId="0610CCB8" w14:textId="77777777" w:rsidR="009570F1" w:rsidRDefault="009570F1" w:rsidP="00DF604C">
      <w:pPr>
        <w:spacing w:line="480" w:lineRule="auto"/>
        <w:rPr>
          <w:rFonts w:ascii="Times New Roman" w:hAnsi="Times New Roman" w:cs="Times New Roman"/>
        </w:rPr>
      </w:pPr>
    </w:p>
    <w:p w14:paraId="053E34CB" w14:textId="7ECF07D9" w:rsidR="00E51101" w:rsidRDefault="00E51101" w:rsidP="00DF604C">
      <w:pPr>
        <w:spacing w:line="480" w:lineRule="auto"/>
        <w:rPr>
          <w:rFonts w:ascii="Times New Roman" w:hAnsi="Times New Roman" w:cs="Times New Roman"/>
        </w:rPr>
      </w:pPr>
      <w:r>
        <w:rPr>
          <w:rFonts w:ascii="Times New Roman" w:hAnsi="Times New Roman" w:cs="Times New Roman"/>
        </w:rPr>
        <w:t>With the growth of this counterculture, came a sense of excitement for the hippie generation.</w:t>
      </w:r>
      <w:r w:rsidR="0083658A">
        <w:rPr>
          <w:rStyle w:val="FootnoteReference"/>
          <w:rFonts w:ascii="Times New Roman" w:hAnsi="Times New Roman" w:cs="Times New Roman"/>
        </w:rPr>
        <w:footnoteReference w:id="40"/>
      </w:r>
      <w:r>
        <w:rPr>
          <w:rFonts w:ascii="Times New Roman" w:hAnsi="Times New Roman" w:cs="Times New Roman"/>
        </w:rPr>
        <w:t xml:space="preserve"> A combination of their shared ‘coming of age’</w:t>
      </w:r>
      <w:r w:rsidR="0083658A">
        <w:rPr>
          <w:rStyle w:val="FootnoteReference"/>
          <w:rFonts w:ascii="Times New Roman" w:hAnsi="Times New Roman" w:cs="Times New Roman"/>
        </w:rPr>
        <w:footnoteReference w:id="41"/>
      </w:r>
      <w:r>
        <w:rPr>
          <w:rFonts w:ascii="Times New Roman" w:hAnsi="Times New Roman" w:cs="Times New Roman"/>
        </w:rPr>
        <w:t xml:space="preserve"> and the influence of the conflict in Vietnam came a ‘mood of tremendous angst’</w:t>
      </w:r>
      <w:r w:rsidR="0083658A">
        <w:rPr>
          <w:rStyle w:val="FootnoteReference"/>
          <w:rFonts w:ascii="Times New Roman" w:hAnsi="Times New Roman" w:cs="Times New Roman"/>
        </w:rPr>
        <w:footnoteReference w:id="42"/>
      </w:r>
      <w:r>
        <w:rPr>
          <w:rFonts w:ascii="Times New Roman" w:hAnsi="Times New Roman" w:cs="Times New Roman"/>
        </w:rPr>
        <w:t xml:space="preserve"> among the baby boomers. Questions like “Who am I?” and “What does it all mean?”</w:t>
      </w:r>
      <w:r w:rsidR="0083658A">
        <w:rPr>
          <w:rStyle w:val="FootnoteReference"/>
          <w:rFonts w:ascii="Times New Roman" w:hAnsi="Times New Roman" w:cs="Times New Roman"/>
        </w:rPr>
        <w:footnoteReference w:id="43"/>
      </w:r>
      <w:r>
        <w:rPr>
          <w:rFonts w:ascii="Times New Roman" w:hAnsi="Times New Roman" w:cs="Times New Roman"/>
        </w:rPr>
        <w:t xml:space="preserve"> filled their minds as they voyaged through their primitive years of adulthood</w:t>
      </w:r>
      <w:r w:rsidR="000D2CA8">
        <w:rPr>
          <w:rFonts w:ascii="Times New Roman" w:hAnsi="Times New Roman" w:cs="Times New Roman"/>
        </w:rPr>
        <w:t xml:space="preserve">. </w:t>
      </w:r>
      <w:r w:rsidR="000017BC">
        <w:rPr>
          <w:rFonts w:ascii="Times New Roman" w:hAnsi="Times New Roman" w:cs="Times New Roman"/>
        </w:rPr>
        <w:t xml:space="preserve">It was through this questioning that inspired a transformation of individual expression, a lot of which was achieved through </w:t>
      </w:r>
      <w:r w:rsidR="009209A0">
        <w:rPr>
          <w:rFonts w:ascii="Times New Roman" w:hAnsi="Times New Roman" w:cs="Times New Roman"/>
        </w:rPr>
        <w:t>fashion. It is argued that clothing is a “universal language of signs</w:t>
      </w:r>
      <w:r w:rsidR="00D17D73">
        <w:rPr>
          <w:rFonts w:ascii="Times New Roman" w:hAnsi="Times New Roman" w:cs="Times New Roman"/>
        </w:rPr>
        <w:t>” and</w:t>
      </w:r>
      <w:r w:rsidR="009209A0">
        <w:rPr>
          <w:rFonts w:ascii="Times New Roman" w:hAnsi="Times New Roman" w:cs="Times New Roman"/>
        </w:rPr>
        <w:t xml:space="preserve"> can be both symbolic of and rebel against the society in which it is fashionable.</w:t>
      </w:r>
      <w:r w:rsidR="00D17D73">
        <w:rPr>
          <w:rStyle w:val="FootnoteReference"/>
          <w:rFonts w:ascii="Times New Roman" w:hAnsi="Times New Roman" w:cs="Times New Roman"/>
        </w:rPr>
        <w:footnoteReference w:id="44"/>
      </w:r>
      <w:r w:rsidR="00D17D73">
        <w:rPr>
          <w:rFonts w:ascii="Times New Roman" w:hAnsi="Times New Roman" w:cs="Times New Roman"/>
        </w:rPr>
        <w:t xml:space="preserve"> A lack of power and control of the conflict in Vietnam arguably inspired hippies to use self-expression as a method of communication.</w:t>
      </w:r>
      <w:r w:rsidR="007F2B96">
        <w:rPr>
          <w:rStyle w:val="FootnoteReference"/>
          <w:rFonts w:ascii="Times New Roman" w:hAnsi="Times New Roman" w:cs="Times New Roman"/>
        </w:rPr>
        <w:footnoteReference w:id="45"/>
      </w:r>
      <w:r w:rsidR="00D17D73">
        <w:rPr>
          <w:rFonts w:ascii="Times New Roman" w:hAnsi="Times New Roman" w:cs="Times New Roman"/>
        </w:rPr>
        <w:t xml:space="preserve"> The hope was that like-minded individuals would recognise trending styles like long hair, bell bottoms and patterned clothing to be representative of the hippiedom way of living. The aim was that the clear breakaway from classic, more traditional clothing styles worn in previous decades would suggest that the hippiedom lifestyle was the future, their clothing embodied a message for change.</w:t>
      </w:r>
      <w:r w:rsidRPr="470E68AC">
        <w:rPr>
          <w:rStyle w:val="FootnoteReference"/>
          <w:rFonts w:ascii="Times New Roman" w:hAnsi="Times New Roman" w:cs="Times New Roman"/>
        </w:rPr>
        <w:footnoteReference w:id="46"/>
      </w:r>
      <w:r w:rsidR="00D17D73">
        <w:rPr>
          <w:rFonts w:ascii="Times New Roman" w:hAnsi="Times New Roman" w:cs="Times New Roman"/>
        </w:rPr>
        <w:t xml:space="preserve"> </w:t>
      </w:r>
    </w:p>
    <w:p w14:paraId="6BAE5306" w14:textId="0F00A861" w:rsidR="00A13CA7" w:rsidRDefault="00A13CA7" w:rsidP="00DF604C">
      <w:pPr>
        <w:spacing w:line="480" w:lineRule="auto"/>
        <w:rPr>
          <w:rFonts w:ascii="Times New Roman" w:hAnsi="Times New Roman" w:cs="Times New Roman"/>
        </w:rPr>
      </w:pPr>
      <w:r>
        <w:rPr>
          <w:rFonts w:ascii="Times New Roman" w:hAnsi="Times New Roman" w:cs="Times New Roman"/>
        </w:rPr>
        <w:t>The rise of baby-boom youth culture in the sixties provided a ‘large and profitable market’</w:t>
      </w:r>
      <w:r>
        <w:rPr>
          <w:rStyle w:val="FootnoteReference"/>
          <w:rFonts w:ascii="Times New Roman" w:hAnsi="Times New Roman" w:cs="Times New Roman"/>
        </w:rPr>
        <w:footnoteReference w:id="47"/>
      </w:r>
      <w:r>
        <w:rPr>
          <w:rFonts w:ascii="Times New Roman" w:hAnsi="Times New Roman" w:cs="Times New Roman"/>
        </w:rPr>
        <w:t xml:space="preserve"> for new trends. The growth of counterculture fashions can be measured by the development of television in America during this time. The accessibility of television in the homes of the middle class during the late fifties and sixties was transformative for American culture in many respects. For the first time, families could sit around a television set in the evening and engage with news programmes. High engagement with televised entertainment presented an opportunity for companies to promote their products on an entirely new scale. Advertisements could now reach the 90% of American households </w:t>
      </w:r>
      <w:r>
        <w:rPr>
          <w:rFonts w:ascii="Times New Roman" w:hAnsi="Times New Roman" w:cs="Times New Roman"/>
        </w:rPr>
        <w:lastRenderedPageBreak/>
        <w:t>who owned a television set.</w:t>
      </w:r>
      <w:r w:rsidR="00D4402B">
        <w:rPr>
          <w:rStyle w:val="FootnoteReference"/>
          <w:rFonts w:ascii="Times New Roman" w:hAnsi="Times New Roman" w:cs="Times New Roman"/>
        </w:rPr>
        <w:footnoteReference w:id="48"/>
      </w:r>
      <w:r>
        <w:rPr>
          <w:rFonts w:ascii="Times New Roman" w:hAnsi="Times New Roman" w:cs="Times New Roman"/>
        </w:rPr>
        <w:t xml:space="preserve"> A combination of fashion advertisements and footage from peace-protests arguably aided the spread of counterculture across the US. Advertising during this period, according to author Betty Luther Hillman in her book ‘Dressing for the Culture Wars: Style and the Politics of Self-Presentation’ helped to ‘increase the emphasis on personal appearance as part of one’s politicisation’</w:t>
      </w:r>
      <w:r>
        <w:rPr>
          <w:rStyle w:val="FootnoteReference"/>
          <w:rFonts w:ascii="Times New Roman" w:hAnsi="Times New Roman" w:cs="Times New Roman"/>
        </w:rPr>
        <w:footnoteReference w:id="49"/>
      </w:r>
      <w:r>
        <w:rPr>
          <w:rFonts w:ascii="Times New Roman" w:hAnsi="Times New Roman" w:cs="Times New Roman"/>
        </w:rPr>
        <w:t>.</w:t>
      </w:r>
      <w:r w:rsidR="00D4402B">
        <w:rPr>
          <w:rFonts w:ascii="Times New Roman" w:hAnsi="Times New Roman" w:cs="Times New Roman"/>
        </w:rPr>
        <w:t xml:space="preserve"> Hillman notes that a chant used by protesters during the Chicago Democratic National Convention in 1968 “the whole world is watching” demonstrated their awareness that television and the media were ‘instrumental in visually broadcasting their message to the outside world’. The author suggests that hippies, knowing their audience, explains why activists used ‘dress and hair styles as visual cues to signify their political goals’</w:t>
      </w:r>
      <w:r w:rsidR="00F341CF">
        <w:rPr>
          <w:rStyle w:val="FootnoteReference"/>
          <w:rFonts w:ascii="Times New Roman" w:hAnsi="Times New Roman" w:cs="Times New Roman"/>
        </w:rPr>
        <w:footnoteReference w:id="50"/>
      </w:r>
      <w:r w:rsidR="00D4402B">
        <w:rPr>
          <w:rFonts w:ascii="Times New Roman" w:hAnsi="Times New Roman" w:cs="Times New Roman"/>
        </w:rPr>
        <w:t>.</w:t>
      </w:r>
    </w:p>
    <w:p w14:paraId="6943B435" w14:textId="0B3802D3" w:rsidR="00BB6E1D" w:rsidRDefault="00A91DA2" w:rsidP="00EB4E68">
      <w:pPr>
        <w:spacing w:line="480" w:lineRule="auto"/>
        <w:rPr>
          <w:rFonts w:ascii="Times New Roman" w:hAnsi="Times New Roman" w:cs="Times New Roman"/>
        </w:rPr>
      </w:pPr>
      <w:r>
        <w:rPr>
          <w:rFonts w:ascii="Times New Roman" w:hAnsi="Times New Roman" w:cs="Times New Roman"/>
        </w:rPr>
        <w:t>Bell-bottom</w:t>
      </w:r>
      <w:r w:rsidR="006A3002">
        <w:rPr>
          <w:rFonts w:ascii="Times New Roman" w:hAnsi="Times New Roman" w:cs="Times New Roman"/>
        </w:rPr>
        <w:t xml:space="preserve"> </w:t>
      </w:r>
      <w:r w:rsidR="00C5366B">
        <w:rPr>
          <w:rFonts w:ascii="Times New Roman" w:hAnsi="Times New Roman" w:cs="Times New Roman"/>
        </w:rPr>
        <w:t>trousers</w:t>
      </w:r>
      <w:r>
        <w:rPr>
          <w:rFonts w:ascii="Times New Roman" w:hAnsi="Times New Roman" w:cs="Times New Roman"/>
        </w:rPr>
        <w:t xml:space="preserve"> </w:t>
      </w:r>
      <w:r w:rsidR="00C5366B">
        <w:rPr>
          <w:rFonts w:ascii="Times New Roman" w:hAnsi="Times New Roman" w:cs="Times New Roman"/>
        </w:rPr>
        <w:t>were a</w:t>
      </w:r>
      <w:r>
        <w:rPr>
          <w:rFonts w:ascii="Times New Roman" w:hAnsi="Times New Roman" w:cs="Times New Roman"/>
        </w:rPr>
        <w:t xml:space="preserve"> popular</w:t>
      </w:r>
      <w:r w:rsidR="00C5366B">
        <w:rPr>
          <w:rFonts w:ascii="Times New Roman" w:hAnsi="Times New Roman" w:cs="Times New Roman"/>
        </w:rPr>
        <w:t xml:space="preserve"> style</w:t>
      </w:r>
      <w:r>
        <w:rPr>
          <w:rFonts w:ascii="Times New Roman" w:hAnsi="Times New Roman" w:cs="Times New Roman"/>
        </w:rPr>
        <w:t xml:space="preserve"> </w:t>
      </w:r>
      <w:r w:rsidR="00C5366B">
        <w:rPr>
          <w:rFonts w:ascii="Times New Roman" w:hAnsi="Times New Roman" w:cs="Times New Roman"/>
        </w:rPr>
        <w:t>worn by</w:t>
      </w:r>
      <w:r>
        <w:rPr>
          <w:rFonts w:ascii="Times New Roman" w:hAnsi="Times New Roman" w:cs="Times New Roman"/>
        </w:rPr>
        <w:t xml:space="preserve"> youths </w:t>
      </w:r>
      <w:r w:rsidR="00C5366B">
        <w:rPr>
          <w:rFonts w:ascii="Times New Roman" w:hAnsi="Times New Roman" w:cs="Times New Roman"/>
        </w:rPr>
        <w:t xml:space="preserve">during </w:t>
      </w:r>
      <w:r w:rsidR="006A3002">
        <w:rPr>
          <w:rFonts w:ascii="Times New Roman" w:hAnsi="Times New Roman" w:cs="Times New Roman"/>
        </w:rPr>
        <w:t xml:space="preserve">the </w:t>
      </w:r>
      <w:r w:rsidR="004750F3">
        <w:rPr>
          <w:rFonts w:ascii="Times New Roman" w:hAnsi="Times New Roman" w:cs="Times New Roman"/>
        </w:rPr>
        <w:t>a</w:t>
      </w:r>
      <w:r w:rsidR="006A3002">
        <w:rPr>
          <w:rFonts w:ascii="Times New Roman" w:hAnsi="Times New Roman" w:cs="Times New Roman"/>
        </w:rPr>
        <w:t>nti-</w:t>
      </w:r>
      <w:r w:rsidR="004750F3">
        <w:rPr>
          <w:rFonts w:ascii="Times New Roman" w:hAnsi="Times New Roman" w:cs="Times New Roman"/>
        </w:rPr>
        <w:t>w</w:t>
      </w:r>
      <w:r w:rsidR="00C761CF">
        <w:rPr>
          <w:rFonts w:ascii="Times New Roman" w:hAnsi="Times New Roman" w:cs="Times New Roman"/>
        </w:rPr>
        <w:t>ar protests</w:t>
      </w:r>
      <w:r w:rsidR="006A3002">
        <w:rPr>
          <w:rFonts w:ascii="Times New Roman" w:hAnsi="Times New Roman" w:cs="Times New Roman"/>
        </w:rPr>
        <w:t xml:space="preserve"> </w:t>
      </w:r>
      <w:r>
        <w:rPr>
          <w:rFonts w:ascii="Times New Roman" w:hAnsi="Times New Roman" w:cs="Times New Roman"/>
        </w:rPr>
        <w:t xml:space="preserve">and were available in both male and female fittings. These trousers were tight fitting around the upper half of the leg with a flared cut after the knee. This cut of pant was originally worn by </w:t>
      </w:r>
      <w:r w:rsidR="00BC4906">
        <w:rPr>
          <w:rFonts w:ascii="Times New Roman" w:hAnsi="Times New Roman" w:cs="Times New Roman"/>
        </w:rPr>
        <w:t xml:space="preserve">US Navy </w:t>
      </w:r>
      <w:r>
        <w:rPr>
          <w:rFonts w:ascii="Times New Roman" w:hAnsi="Times New Roman" w:cs="Times New Roman"/>
        </w:rPr>
        <w:t>sailors as functional workwear in the 19</w:t>
      </w:r>
      <w:r w:rsidRPr="00A91DA2">
        <w:rPr>
          <w:rFonts w:ascii="Times New Roman" w:hAnsi="Times New Roman" w:cs="Times New Roman"/>
          <w:vertAlign w:val="superscript"/>
        </w:rPr>
        <w:t>th</w:t>
      </w:r>
      <w:r>
        <w:rPr>
          <w:rFonts w:ascii="Times New Roman" w:hAnsi="Times New Roman" w:cs="Times New Roman"/>
        </w:rPr>
        <w:t xml:space="preserve"> </w:t>
      </w:r>
      <w:r w:rsidR="009E361A">
        <w:rPr>
          <w:rFonts w:ascii="Times New Roman" w:hAnsi="Times New Roman" w:cs="Times New Roman"/>
        </w:rPr>
        <w:t>and early 20</w:t>
      </w:r>
      <w:r w:rsidR="009E361A" w:rsidRPr="009E361A">
        <w:rPr>
          <w:rFonts w:ascii="Times New Roman" w:hAnsi="Times New Roman" w:cs="Times New Roman"/>
          <w:vertAlign w:val="superscript"/>
        </w:rPr>
        <w:t>th</w:t>
      </w:r>
      <w:r w:rsidR="009E361A">
        <w:rPr>
          <w:rFonts w:ascii="Times New Roman" w:hAnsi="Times New Roman" w:cs="Times New Roman"/>
        </w:rPr>
        <w:t xml:space="preserve"> century and resurfaced in the sixties during the Anti-War movement.</w:t>
      </w:r>
      <w:r w:rsidR="00BC4906">
        <w:rPr>
          <w:rStyle w:val="FootnoteReference"/>
          <w:rFonts w:ascii="Times New Roman" w:hAnsi="Times New Roman" w:cs="Times New Roman"/>
        </w:rPr>
        <w:footnoteReference w:id="51"/>
      </w:r>
      <w:r w:rsidR="009E361A">
        <w:rPr>
          <w:rFonts w:ascii="Times New Roman" w:hAnsi="Times New Roman" w:cs="Times New Roman"/>
        </w:rPr>
        <w:t xml:space="preserve"> Bell-bottoms were seen to be worn repeatedly throughout protests </w:t>
      </w:r>
      <w:r w:rsidR="00BC4906">
        <w:rPr>
          <w:rFonts w:ascii="Times New Roman" w:hAnsi="Times New Roman" w:cs="Times New Roman"/>
        </w:rPr>
        <w:t xml:space="preserve">and became a fashion associated with this time. </w:t>
      </w:r>
      <w:r w:rsidR="0031753A">
        <w:rPr>
          <w:rFonts w:ascii="Times New Roman" w:hAnsi="Times New Roman" w:cs="Times New Roman"/>
        </w:rPr>
        <w:t>It is argued by Ronald Barthes in</w:t>
      </w:r>
      <w:r w:rsidR="00424B60">
        <w:rPr>
          <w:rFonts w:ascii="Times New Roman" w:hAnsi="Times New Roman" w:cs="Times New Roman"/>
        </w:rPr>
        <w:t xml:space="preserve"> </w:t>
      </w:r>
      <w:r w:rsidR="00424B60" w:rsidRPr="470E68AC">
        <w:rPr>
          <w:rFonts w:ascii="Times New Roman" w:hAnsi="Times New Roman" w:cs="Times New Roman"/>
          <w:i/>
          <w:iCs/>
        </w:rPr>
        <w:t>System de la Mode</w:t>
      </w:r>
      <w:r w:rsidR="00BB6E1D" w:rsidRPr="00BB6E1D">
        <w:rPr>
          <w:rFonts w:ascii="Times New Roman" w:hAnsi="Times New Roman" w:cs="Times New Roman"/>
        </w:rPr>
        <w:t xml:space="preserve"> that fashion can “know only a very long history or no history”.</w:t>
      </w:r>
      <w:r w:rsidR="00424B60">
        <w:rPr>
          <w:rStyle w:val="FootnoteReference"/>
          <w:rFonts w:ascii="Times New Roman" w:hAnsi="Times New Roman" w:cs="Times New Roman"/>
        </w:rPr>
        <w:footnoteReference w:id="52"/>
      </w:r>
      <w:r w:rsidR="00BC4906">
        <w:rPr>
          <w:rFonts w:ascii="Times New Roman" w:hAnsi="Times New Roman" w:cs="Times New Roman"/>
        </w:rPr>
        <w:t xml:space="preserve"> </w:t>
      </w:r>
      <w:r w:rsidR="00B66C94">
        <w:rPr>
          <w:rFonts w:ascii="Times New Roman" w:hAnsi="Times New Roman" w:cs="Times New Roman"/>
        </w:rPr>
        <w:t xml:space="preserve">This theory suggests that </w:t>
      </w:r>
      <w:r w:rsidR="00931126">
        <w:rPr>
          <w:rFonts w:ascii="Times New Roman" w:hAnsi="Times New Roman" w:cs="Times New Roman"/>
        </w:rPr>
        <w:t xml:space="preserve">perhaps </w:t>
      </w:r>
      <w:r w:rsidR="00BC4906">
        <w:rPr>
          <w:rFonts w:ascii="Times New Roman" w:hAnsi="Times New Roman" w:cs="Times New Roman"/>
        </w:rPr>
        <w:t xml:space="preserve">without </w:t>
      </w:r>
      <w:r w:rsidR="005B081E">
        <w:rPr>
          <w:rFonts w:ascii="Times New Roman" w:hAnsi="Times New Roman" w:cs="Times New Roman"/>
        </w:rPr>
        <w:t>their military background</w:t>
      </w:r>
      <w:r w:rsidR="00BC4906">
        <w:rPr>
          <w:rFonts w:ascii="Times New Roman" w:hAnsi="Times New Roman" w:cs="Times New Roman"/>
        </w:rPr>
        <w:t xml:space="preserve">, </w:t>
      </w:r>
      <w:r w:rsidR="00931126">
        <w:rPr>
          <w:rFonts w:ascii="Times New Roman" w:hAnsi="Times New Roman" w:cs="Times New Roman"/>
        </w:rPr>
        <w:t>the</w:t>
      </w:r>
      <w:r w:rsidR="005B081E">
        <w:rPr>
          <w:rFonts w:ascii="Times New Roman" w:hAnsi="Times New Roman" w:cs="Times New Roman"/>
        </w:rPr>
        <w:t xml:space="preserve">se pants </w:t>
      </w:r>
      <w:r w:rsidR="00BC4906">
        <w:rPr>
          <w:rFonts w:ascii="Times New Roman" w:hAnsi="Times New Roman" w:cs="Times New Roman"/>
        </w:rPr>
        <w:t xml:space="preserve">would not have resurfaced again during </w:t>
      </w:r>
      <w:r w:rsidR="00931126">
        <w:rPr>
          <w:rFonts w:ascii="Times New Roman" w:hAnsi="Times New Roman" w:cs="Times New Roman"/>
        </w:rPr>
        <w:t>a</w:t>
      </w:r>
      <w:r w:rsidR="00BC4906">
        <w:rPr>
          <w:rFonts w:ascii="Times New Roman" w:hAnsi="Times New Roman" w:cs="Times New Roman"/>
        </w:rPr>
        <w:t xml:space="preserve"> time of </w:t>
      </w:r>
      <w:r w:rsidR="005B081E">
        <w:rPr>
          <w:rFonts w:ascii="Times New Roman" w:hAnsi="Times New Roman" w:cs="Times New Roman"/>
        </w:rPr>
        <w:t>conflict</w:t>
      </w:r>
      <w:r w:rsidR="00BC4906">
        <w:rPr>
          <w:rFonts w:ascii="Times New Roman" w:hAnsi="Times New Roman" w:cs="Times New Roman"/>
        </w:rPr>
        <w:t>. It is argued that protesters returned to this cut of pant and tailored them to be associated with their own policies spiteful of the US military’s involvement in Vietnam.</w:t>
      </w:r>
      <w:r w:rsidRPr="470E68AC">
        <w:rPr>
          <w:rStyle w:val="FootnoteReference"/>
          <w:rFonts w:ascii="Times New Roman" w:hAnsi="Times New Roman" w:cs="Times New Roman"/>
        </w:rPr>
        <w:footnoteReference w:id="53"/>
      </w:r>
      <w:r w:rsidR="00BC4906">
        <w:rPr>
          <w:rFonts w:ascii="Times New Roman" w:hAnsi="Times New Roman" w:cs="Times New Roman"/>
        </w:rPr>
        <w:t xml:space="preserve"> </w:t>
      </w:r>
      <w:r w:rsidR="00140F5C">
        <w:rPr>
          <w:rFonts w:ascii="Times New Roman" w:hAnsi="Times New Roman" w:cs="Times New Roman"/>
        </w:rPr>
        <w:t xml:space="preserve">Hippies </w:t>
      </w:r>
      <w:r w:rsidR="005B081E">
        <w:rPr>
          <w:rFonts w:ascii="Times New Roman" w:hAnsi="Times New Roman" w:cs="Times New Roman"/>
        </w:rPr>
        <w:t>purchased</w:t>
      </w:r>
      <w:r w:rsidR="00140F5C">
        <w:rPr>
          <w:rFonts w:ascii="Times New Roman" w:hAnsi="Times New Roman" w:cs="Times New Roman"/>
        </w:rPr>
        <w:t xml:space="preserve"> bell-bottoms, a </w:t>
      </w:r>
      <w:r w:rsidR="00931126">
        <w:rPr>
          <w:rFonts w:ascii="Times New Roman" w:hAnsi="Times New Roman" w:cs="Times New Roman"/>
        </w:rPr>
        <w:t xml:space="preserve">style </w:t>
      </w:r>
      <w:r w:rsidR="00140F5C">
        <w:rPr>
          <w:rFonts w:ascii="Times New Roman" w:hAnsi="Times New Roman" w:cs="Times New Roman"/>
        </w:rPr>
        <w:t>previously associated with the military, and repurposed their function</w:t>
      </w:r>
      <w:r w:rsidR="005B081E">
        <w:rPr>
          <w:rFonts w:ascii="Times New Roman" w:hAnsi="Times New Roman" w:cs="Times New Roman"/>
        </w:rPr>
        <w:t>. The trousers were now worn as</w:t>
      </w:r>
      <w:r w:rsidR="00140F5C">
        <w:rPr>
          <w:rFonts w:ascii="Times New Roman" w:hAnsi="Times New Roman" w:cs="Times New Roman"/>
        </w:rPr>
        <w:t xml:space="preserve"> </w:t>
      </w:r>
      <w:r w:rsidR="006560A3">
        <w:rPr>
          <w:rFonts w:ascii="Times New Roman" w:hAnsi="Times New Roman" w:cs="Times New Roman"/>
        </w:rPr>
        <w:t>uniform during</w:t>
      </w:r>
      <w:r w:rsidR="00E15135">
        <w:rPr>
          <w:rFonts w:ascii="Times New Roman" w:hAnsi="Times New Roman" w:cs="Times New Roman"/>
        </w:rPr>
        <w:t xml:space="preserve"> peace </w:t>
      </w:r>
      <w:r w:rsidR="006560A3">
        <w:rPr>
          <w:rFonts w:ascii="Times New Roman" w:hAnsi="Times New Roman" w:cs="Times New Roman"/>
        </w:rPr>
        <w:t xml:space="preserve">protests that condemned </w:t>
      </w:r>
      <w:r w:rsidR="00A41029">
        <w:rPr>
          <w:rFonts w:ascii="Times New Roman" w:hAnsi="Times New Roman" w:cs="Times New Roman"/>
        </w:rPr>
        <w:t>the</w:t>
      </w:r>
      <w:r w:rsidR="005B081E">
        <w:rPr>
          <w:rFonts w:ascii="Times New Roman" w:hAnsi="Times New Roman" w:cs="Times New Roman"/>
        </w:rPr>
        <w:t xml:space="preserve"> </w:t>
      </w:r>
      <w:r w:rsidR="006560A3">
        <w:rPr>
          <w:rFonts w:ascii="Times New Roman" w:hAnsi="Times New Roman" w:cs="Times New Roman"/>
        </w:rPr>
        <w:t>military activity</w:t>
      </w:r>
      <w:r w:rsidR="005B081E">
        <w:rPr>
          <w:rFonts w:ascii="Times New Roman" w:hAnsi="Times New Roman" w:cs="Times New Roman"/>
        </w:rPr>
        <w:t xml:space="preserve"> from which the style rooted from</w:t>
      </w:r>
      <w:r w:rsidR="006560A3">
        <w:rPr>
          <w:rFonts w:ascii="Times New Roman" w:hAnsi="Times New Roman" w:cs="Times New Roman"/>
        </w:rPr>
        <w:t xml:space="preserve">. </w:t>
      </w:r>
    </w:p>
    <w:p w14:paraId="4A114278" w14:textId="132FD667" w:rsidR="00A63C39" w:rsidRDefault="00A63C39" w:rsidP="00EB4E68">
      <w:pPr>
        <w:spacing w:line="480" w:lineRule="auto"/>
        <w:rPr>
          <w:rFonts w:ascii="Times New Roman" w:hAnsi="Times New Roman" w:cs="Times New Roman"/>
        </w:rPr>
      </w:pPr>
    </w:p>
    <w:p w14:paraId="2D40FAF8" w14:textId="77777777" w:rsidR="00A63C39" w:rsidRDefault="00A63C39" w:rsidP="00EB4E68">
      <w:pPr>
        <w:spacing w:line="480" w:lineRule="auto"/>
        <w:rPr>
          <w:rFonts w:ascii="Times New Roman" w:hAnsi="Times New Roman" w:cs="Times New Roman"/>
        </w:rPr>
      </w:pPr>
    </w:p>
    <w:p w14:paraId="79FB97D6" w14:textId="40FCC25B" w:rsidR="00EB4E68" w:rsidRPr="007969CB" w:rsidRDefault="0000560B" w:rsidP="0071434D">
      <w:pPr>
        <w:spacing w:line="480" w:lineRule="auto"/>
        <w:rPr>
          <w:rFonts w:ascii="Times New Roman" w:hAnsi="Times New Roman" w:cs="Times New Roman"/>
        </w:rPr>
      </w:pPr>
      <w:r>
        <w:rPr>
          <w:rFonts w:ascii="Times New Roman" w:hAnsi="Times New Roman" w:cs="Times New Roman"/>
        </w:rPr>
        <w:t xml:space="preserve">In conclusion, self-expression allowed youths who followed the Anti-War movement in the US during the late sixties and early seventies to feel a sense of control in a war-driven society where they otherwise felt powerless. Self-presentation techniques ‘provided a rich tool’ for activists to visually express their opposition to and alienation from American culture. The conflict in Vietnam sparked youths to question the American socio-political system, resulting in the establishment of an Anti-War movement. Peace protesting, despite its denotative opposition to war, had larger cultural connotations through the way in which people presented themselves. The fashions of this time were part of a greater counterculture that formed in response to hippies shared rejection of traditional American society. </w:t>
      </w:r>
      <w:r w:rsidR="004D7E30">
        <w:rPr>
          <w:rFonts w:ascii="Times New Roman" w:hAnsi="Times New Roman" w:cs="Times New Roman"/>
        </w:rPr>
        <w:t>The politicisation of clothing during the peace protests can be measured by its television coverage through protest footage and advertising. Self-expression through clothing and hairstyles was therefore both a political and cultural tool used by activists to communicate their ideas to the world.</w:t>
      </w:r>
      <w:r w:rsidR="009570F1">
        <w:rPr>
          <w:rStyle w:val="FootnoteReference"/>
          <w:rFonts w:ascii="Times New Roman" w:hAnsi="Times New Roman" w:cs="Times New Roman"/>
        </w:rPr>
        <w:footnoteReference w:id="54"/>
      </w:r>
      <w:r w:rsidR="00D86D41">
        <w:rPr>
          <w:rFonts w:ascii="Times New Roman" w:hAnsi="Times New Roman" w:cs="Times New Roman"/>
        </w:rPr>
        <w:t xml:space="preserve"> The counterculture of the late sixties and seventies has since been recognised as one of the most defining of the </w:t>
      </w:r>
      <w:r w:rsidR="009570F1">
        <w:rPr>
          <w:rFonts w:ascii="Times New Roman" w:hAnsi="Times New Roman" w:cs="Times New Roman"/>
        </w:rPr>
        <w:t>century and</w:t>
      </w:r>
      <w:r w:rsidR="00D86D41">
        <w:rPr>
          <w:rFonts w:ascii="Times New Roman" w:hAnsi="Times New Roman" w:cs="Times New Roman"/>
        </w:rPr>
        <w:t xml:space="preserve"> is argued to be the most transformative period of individual expression in the 20</w:t>
      </w:r>
      <w:r w:rsidR="00D86D41" w:rsidRPr="00D86D41">
        <w:rPr>
          <w:rFonts w:ascii="Times New Roman" w:hAnsi="Times New Roman" w:cs="Times New Roman"/>
          <w:vertAlign w:val="superscript"/>
        </w:rPr>
        <w:t>th</w:t>
      </w:r>
      <w:r w:rsidR="00D86D41">
        <w:rPr>
          <w:rFonts w:ascii="Times New Roman" w:hAnsi="Times New Roman" w:cs="Times New Roman"/>
        </w:rPr>
        <w:t xml:space="preserve"> century.</w:t>
      </w:r>
      <w:r w:rsidR="009570F1">
        <w:rPr>
          <w:rStyle w:val="FootnoteReference"/>
          <w:rFonts w:ascii="Times New Roman" w:hAnsi="Times New Roman" w:cs="Times New Roman"/>
        </w:rPr>
        <w:footnoteReference w:id="55"/>
      </w:r>
      <w:r w:rsidR="00D86D41">
        <w:rPr>
          <w:rFonts w:ascii="Times New Roman" w:hAnsi="Times New Roman" w:cs="Times New Roman"/>
        </w:rPr>
        <w:t xml:space="preserve">  </w:t>
      </w:r>
    </w:p>
    <w:p w14:paraId="4F3AB891" w14:textId="55D63763" w:rsidR="00621105" w:rsidRDefault="00621105" w:rsidP="00586EFE">
      <w:pPr>
        <w:spacing w:line="480" w:lineRule="auto"/>
        <w:rPr>
          <w:rFonts w:ascii="Times New Roman" w:hAnsi="Times New Roman" w:cs="Times New Roman"/>
        </w:rPr>
      </w:pPr>
    </w:p>
    <w:p w14:paraId="1617C3AF" w14:textId="42AB57A1" w:rsidR="00AA47C3" w:rsidRDefault="00AA47C3" w:rsidP="00586EFE">
      <w:pPr>
        <w:spacing w:line="480" w:lineRule="auto"/>
        <w:rPr>
          <w:rFonts w:ascii="Times New Roman" w:hAnsi="Times New Roman" w:cs="Times New Roman"/>
        </w:rPr>
      </w:pPr>
    </w:p>
    <w:p w14:paraId="424D8F42" w14:textId="7F72258A" w:rsidR="00AA47C3" w:rsidRDefault="00AA47C3" w:rsidP="00586EFE">
      <w:pPr>
        <w:spacing w:line="480" w:lineRule="auto"/>
        <w:rPr>
          <w:rFonts w:ascii="Times New Roman" w:hAnsi="Times New Roman" w:cs="Times New Roman"/>
        </w:rPr>
      </w:pPr>
    </w:p>
    <w:p w14:paraId="59172AF3" w14:textId="2EC7E86F" w:rsidR="00AA47C3" w:rsidRDefault="00AA47C3" w:rsidP="00586EFE">
      <w:pPr>
        <w:spacing w:line="480" w:lineRule="auto"/>
        <w:rPr>
          <w:rFonts w:ascii="Times New Roman" w:hAnsi="Times New Roman" w:cs="Times New Roman"/>
        </w:rPr>
      </w:pPr>
    </w:p>
    <w:p w14:paraId="462CC1B1" w14:textId="5AE9671B" w:rsidR="00AA47C3" w:rsidRDefault="00AA47C3" w:rsidP="00586EFE">
      <w:pPr>
        <w:spacing w:line="480" w:lineRule="auto"/>
        <w:rPr>
          <w:rFonts w:ascii="Times New Roman" w:hAnsi="Times New Roman" w:cs="Times New Roman"/>
        </w:rPr>
      </w:pPr>
    </w:p>
    <w:p w14:paraId="4DF02064" w14:textId="35E3D562" w:rsidR="00AA47C3" w:rsidRDefault="00AA47C3" w:rsidP="00586EFE">
      <w:pPr>
        <w:spacing w:line="480" w:lineRule="auto"/>
        <w:rPr>
          <w:rFonts w:ascii="Times New Roman" w:hAnsi="Times New Roman" w:cs="Times New Roman"/>
        </w:rPr>
      </w:pPr>
    </w:p>
    <w:p w14:paraId="0740C4AF" w14:textId="2623D569" w:rsidR="00764C6E" w:rsidRPr="00764C6E" w:rsidRDefault="00AA47C3" w:rsidP="00764C6E">
      <w:pPr>
        <w:spacing w:line="480" w:lineRule="auto"/>
        <w:jc w:val="center"/>
        <w:rPr>
          <w:rFonts w:ascii="Times New Roman" w:hAnsi="Times New Roman" w:cs="Times New Roman"/>
          <w:u w:val="single"/>
        </w:rPr>
      </w:pPr>
      <w:r w:rsidRPr="00AC61B8">
        <w:rPr>
          <w:rFonts w:ascii="Times New Roman" w:hAnsi="Times New Roman" w:cs="Times New Roman"/>
          <w:u w:val="single"/>
        </w:rPr>
        <w:lastRenderedPageBreak/>
        <w:t>Bibliography</w:t>
      </w:r>
      <w:bookmarkEnd w:id="7"/>
    </w:p>
    <w:p w14:paraId="729D2086" w14:textId="1F85B638" w:rsidR="00D54A6A" w:rsidRPr="00AC61B8" w:rsidRDefault="00D54A6A" w:rsidP="00764C6E">
      <w:pPr>
        <w:pStyle w:val="FootnoteText"/>
        <w:numPr>
          <w:ilvl w:val="0"/>
          <w:numId w:val="9"/>
        </w:numPr>
        <w:spacing w:line="480" w:lineRule="auto"/>
        <w:rPr>
          <w:rFonts w:ascii="Times New Roman" w:hAnsi="Times New Roman" w:cs="Times New Roman"/>
          <w:sz w:val="22"/>
          <w:szCs w:val="22"/>
        </w:rPr>
      </w:pPr>
      <w:r w:rsidRPr="00A44A91">
        <w:rPr>
          <w:rFonts w:ascii="Times New Roman" w:hAnsi="Times New Roman" w:cs="Times New Roman"/>
          <w:sz w:val="22"/>
          <w:szCs w:val="22"/>
        </w:rPr>
        <w:t>“Number of TV Households in America 1950</w:t>
      </w:r>
      <w:r>
        <w:rPr>
          <w:rFonts w:ascii="Times New Roman" w:hAnsi="Times New Roman" w:cs="Times New Roman"/>
          <w:sz w:val="22"/>
          <w:szCs w:val="22"/>
        </w:rPr>
        <w:t>-</w:t>
      </w:r>
      <w:r w:rsidRPr="00A44A91">
        <w:rPr>
          <w:rFonts w:ascii="Times New Roman" w:hAnsi="Times New Roman" w:cs="Times New Roman"/>
          <w:sz w:val="22"/>
          <w:szCs w:val="22"/>
        </w:rPr>
        <w:t>1978,”</w:t>
      </w:r>
      <w:r>
        <w:rPr>
          <w:rFonts w:ascii="Times New Roman" w:hAnsi="Times New Roman" w:cs="Times New Roman"/>
          <w:sz w:val="22"/>
          <w:szCs w:val="22"/>
        </w:rPr>
        <w:t xml:space="preserve"> </w:t>
      </w:r>
      <w:r w:rsidRPr="00A44A91">
        <w:rPr>
          <w:rFonts w:ascii="Times New Roman" w:hAnsi="Times New Roman" w:cs="Times New Roman"/>
          <w:i/>
          <w:iCs/>
          <w:sz w:val="22"/>
          <w:szCs w:val="22"/>
        </w:rPr>
        <w:t>Wlu.Edu</w:t>
      </w:r>
      <w:r w:rsidRPr="00A44A91">
        <w:rPr>
          <w:rFonts w:ascii="Times New Roman" w:hAnsi="Times New Roman" w:cs="Times New Roman"/>
          <w:sz w:val="22"/>
          <w:szCs w:val="22"/>
        </w:rPr>
        <w:t> &lt;https://americancentury.omeka.wlu.edu/items/show/136&gt; [accessed 8 April 2022]</w:t>
      </w:r>
      <w:r>
        <w:rPr>
          <w:rFonts w:ascii="Times New Roman" w:hAnsi="Times New Roman" w:cs="Times New Roman"/>
          <w:sz w:val="22"/>
          <w:szCs w:val="22"/>
        </w:rPr>
        <w:t>.</w:t>
      </w:r>
    </w:p>
    <w:p w14:paraId="10F5B389" w14:textId="77777777" w:rsidR="00D54A6A"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t xml:space="preserve">Arnold, Martin, ‘Organised Hippies Emerge on Coast’, </w:t>
      </w:r>
      <w:r w:rsidRPr="00654F1D">
        <w:rPr>
          <w:rFonts w:ascii="Times New Roman" w:hAnsi="Times New Roman" w:cs="Times New Roman"/>
          <w:i/>
          <w:iCs/>
          <w:sz w:val="22"/>
          <w:szCs w:val="22"/>
        </w:rPr>
        <w:t>The New York Times</w:t>
      </w:r>
      <w:r w:rsidRPr="00654F1D">
        <w:rPr>
          <w:rFonts w:ascii="Times New Roman" w:hAnsi="Times New Roman" w:cs="Times New Roman"/>
          <w:sz w:val="22"/>
          <w:szCs w:val="22"/>
        </w:rPr>
        <w:t>, 1967, p. 40.</w:t>
      </w:r>
    </w:p>
    <w:p w14:paraId="3CF5562D" w14:textId="77777777" w:rsidR="00D54A6A" w:rsidRPr="00764C6E" w:rsidRDefault="00D54A6A" w:rsidP="00764C6E">
      <w:pPr>
        <w:pStyle w:val="ListParagraph"/>
        <w:numPr>
          <w:ilvl w:val="0"/>
          <w:numId w:val="9"/>
        </w:numPr>
        <w:spacing w:line="480" w:lineRule="auto"/>
        <w:rPr>
          <w:rFonts w:ascii="Times New Roman" w:hAnsi="Times New Roman" w:cs="Times New Roman"/>
          <w:u w:val="single"/>
        </w:rPr>
      </w:pPr>
      <w:r w:rsidRPr="00764C6E">
        <w:rPr>
          <w:rFonts w:ascii="Times New Roman" w:hAnsi="Times New Roman" w:cs="Times New Roman"/>
        </w:rPr>
        <w:t xml:space="preserve">Banner, </w:t>
      </w:r>
      <w:r>
        <w:rPr>
          <w:rFonts w:ascii="Times New Roman" w:hAnsi="Times New Roman" w:cs="Times New Roman"/>
        </w:rPr>
        <w:t xml:space="preserve">Louise, </w:t>
      </w:r>
      <w:r w:rsidRPr="00764C6E">
        <w:rPr>
          <w:rFonts w:ascii="Times New Roman" w:hAnsi="Times New Roman" w:cs="Times New Roman"/>
        </w:rPr>
        <w:t xml:space="preserve">‘Fashion and History’, </w:t>
      </w:r>
      <w:r w:rsidRPr="00764C6E">
        <w:rPr>
          <w:rFonts w:ascii="Times New Roman" w:hAnsi="Times New Roman" w:cs="Times New Roman"/>
          <w:i/>
          <w:iCs/>
        </w:rPr>
        <w:t>The Journal of Interdisciplinary History</w:t>
      </w:r>
      <w:r w:rsidRPr="00764C6E">
        <w:rPr>
          <w:rFonts w:ascii="Times New Roman" w:hAnsi="Times New Roman" w:cs="Times New Roman"/>
        </w:rPr>
        <w:t>, (1982), 13.2, 311-315.</w:t>
      </w:r>
    </w:p>
    <w:p w14:paraId="2AF7DA29" w14:textId="77777777" w:rsidR="00D54A6A" w:rsidRPr="00AC61B8" w:rsidRDefault="00D54A6A" w:rsidP="00764C6E">
      <w:pPr>
        <w:pStyle w:val="FootnoteText"/>
        <w:numPr>
          <w:ilvl w:val="0"/>
          <w:numId w:val="9"/>
        </w:numPr>
        <w:spacing w:line="480" w:lineRule="auto"/>
        <w:rPr>
          <w:rFonts w:ascii="Times New Roman" w:hAnsi="Times New Roman" w:cs="Times New Roman"/>
          <w:sz w:val="22"/>
          <w:szCs w:val="22"/>
        </w:rPr>
      </w:pPr>
      <w:r w:rsidRPr="00AC61B8">
        <w:rPr>
          <w:rFonts w:ascii="Times New Roman" w:hAnsi="Times New Roman" w:cs="Times New Roman"/>
          <w:sz w:val="22"/>
          <w:szCs w:val="22"/>
        </w:rPr>
        <w:t>Buckley</w:t>
      </w:r>
      <w:r>
        <w:rPr>
          <w:rFonts w:ascii="Times New Roman" w:hAnsi="Times New Roman" w:cs="Times New Roman"/>
          <w:sz w:val="22"/>
          <w:szCs w:val="22"/>
        </w:rPr>
        <w:t>, Cheryl</w:t>
      </w:r>
      <w:r w:rsidRPr="00AC61B8">
        <w:rPr>
          <w:rFonts w:ascii="Times New Roman" w:hAnsi="Times New Roman" w:cs="Times New Roman"/>
          <w:sz w:val="22"/>
          <w:szCs w:val="22"/>
        </w:rPr>
        <w:t xml:space="preserve"> and Clark,</w:t>
      </w:r>
      <w:r>
        <w:rPr>
          <w:rFonts w:ascii="Times New Roman" w:hAnsi="Times New Roman" w:cs="Times New Roman"/>
          <w:sz w:val="22"/>
          <w:szCs w:val="22"/>
        </w:rPr>
        <w:t xml:space="preserve"> Hazel</w:t>
      </w:r>
      <w:r w:rsidRPr="00AC61B8">
        <w:rPr>
          <w:rFonts w:ascii="Times New Roman" w:hAnsi="Times New Roman" w:cs="Times New Roman"/>
          <w:sz w:val="22"/>
          <w:szCs w:val="22"/>
        </w:rPr>
        <w:t xml:space="preserve"> ‘Conceptualizing Fashion in Everyday Lives’, </w:t>
      </w:r>
      <w:r w:rsidRPr="00AC61B8">
        <w:rPr>
          <w:rFonts w:ascii="Times New Roman" w:hAnsi="Times New Roman" w:cs="Times New Roman"/>
          <w:i/>
          <w:iCs/>
          <w:sz w:val="22"/>
          <w:szCs w:val="22"/>
        </w:rPr>
        <w:t>Design Issues</w:t>
      </w:r>
      <w:r w:rsidRPr="00AC61B8">
        <w:rPr>
          <w:rFonts w:ascii="Times New Roman" w:hAnsi="Times New Roman" w:cs="Times New Roman"/>
          <w:sz w:val="22"/>
          <w:szCs w:val="22"/>
        </w:rPr>
        <w:t>, (2012) 28.4: 18–28.</w:t>
      </w:r>
    </w:p>
    <w:p w14:paraId="01791A42" w14:textId="77777777" w:rsidR="00D54A6A" w:rsidRPr="00764C6E" w:rsidRDefault="00D54A6A" w:rsidP="00764C6E">
      <w:pPr>
        <w:pStyle w:val="ListParagraph"/>
        <w:numPr>
          <w:ilvl w:val="0"/>
          <w:numId w:val="9"/>
        </w:numPr>
        <w:spacing w:line="480" w:lineRule="auto"/>
        <w:rPr>
          <w:rFonts w:ascii="Times New Roman" w:hAnsi="Times New Roman" w:cs="Times New Roman"/>
          <w:u w:val="single"/>
        </w:rPr>
      </w:pPr>
      <w:r w:rsidRPr="00764C6E">
        <w:rPr>
          <w:rFonts w:ascii="Times New Roman" w:hAnsi="Times New Roman" w:cs="Times New Roman"/>
        </w:rPr>
        <w:t xml:space="preserve">Duncan, Russell, ‘The Summer of Love and Protest: Transatlantic Counterculture in the 1960s’ in </w:t>
      </w:r>
      <w:r w:rsidRPr="00764C6E">
        <w:rPr>
          <w:rFonts w:ascii="Times New Roman" w:hAnsi="Times New Roman" w:cs="Times New Roman"/>
          <w:i/>
          <w:iCs/>
        </w:rPr>
        <w:t>The Transatlantic Sixties</w:t>
      </w:r>
      <w:r w:rsidRPr="00764C6E">
        <w:rPr>
          <w:rFonts w:ascii="Times New Roman" w:hAnsi="Times New Roman" w:cs="Times New Roman"/>
        </w:rPr>
        <w:t xml:space="preserve">, ed. by Grzegorz </w:t>
      </w:r>
      <w:proofErr w:type="spellStart"/>
      <w:r w:rsidRPr="00764C6E">
        <w:rPr>
          <w:rFonts w:ascii="Times New Roman" w:hAnsi="Times New Roman" w:cs="Times New Roman"/>
        </w:rPr>
        <w:t>Kosc</w:t>
      </w:r>
      <w:proofErr w:type="spellEnd"/>
      <w:r w:rsidRPr="00764C6E">
        <w:rPr>
          <w:rFonts w:ascii="Times New Roman" w:hAnsi="Times New Roman" w:cs="Times New Roman"/>
        </w:rPr>
        <w:t xml:space="preserve">, Clara Juncker, Sharon Monteith, Britta </w:t>
      </w:r>
      <w:proofErr w:type="spellStart"/>
      <w:r w:rsidRPr="00764C6E">
        <w:rPr>
          <w:rFonts w:ascii="Times New Roman" w:hAnsi="Times New Roman" w:cs="Times New Roman"/>
        </w:rPr>
        <w:t>Waldschmidt</w:t>
      </w:r>
      <w:proofErr w:type="spellEnd"/>
      <w:r w:rsidRPr="00764C6E">
        <w:rPr>
          <w:rFonts w:ascii="Times New Roman" w:hAnsi="Times New Roman" w:cs="Times New Roman"/>
        </w:rPr>
        <w:t>-Nelson (Bielefeld: Transcript Verlag, 2013), 144-173.</w:t>
      </w:r>
    </w:p>
    <w:p w14:paraId="1DF114C5" w14:textId="77777777" w:rsidR="00D54A6A" w:rsidRPr="00764C6E" w:rsidRDefault="00D54A6A" w:rsidP="00764C6E">
      <w:pPr>
        <w:pStyle w:val="ListParagraph"/>
        <w:numPr>
          <w:ilvl w:val="0"/>
          <w:numId w:val="9"/>
        </w:numPr>
        <w:spacing w:line="480" w:lineRule="auto"/>
        <w:rPr>
          <w:rFonts w:ascii="Times New Roman" w:hAnsi="Times New Roman" w:cs="Times New Roman"/>
          <w:u w:val="single"/>
        </w:rPr>
      </w:pPr>
      <w:r w:rsidRPr="00764C6E">
        <w:rPr>
          <w:rFonts w:ascii="Times New Roman" w:hAnsi="Times New Roman" w:cs="Times New Roman"/>
        </w:rPr>
        <w:t xml:space="preserve">Gilbert, David, ‘The Looks of </w:t>
      </w:r>
      <w:proofErr w:type="spellStart"/>
      <w:r w:rsidRPr="00764C6E">
        <w:rPr>
          <w:rFonts w:ascii="Times New Roman" w:hAnsi="Times New Roman" w:cs="Times New Roman"/>
        </w:rPr>
        <w:t>Auetherity</w:t>
      </w:r>
      <w:proofErr w:type="spellEnd"/>
      <w:r w:rsidRPr="00764C6E">
        <w:rPr>
          <w:rFonts w:ascii="Times New Roman" w:hAnsi="Times New Roman" w:cs="Times New Roman"/>
        </w:rPr>
        <w:t>: Fashions for Hard Times’, </w:t>
      </w:r>
      <w:r w:rsidRPr="00764C6E">
        <w:rPr>
          <w:rFonts w:ascii="Times New Roman" w:hAnsi="Times New Roman" w:cs="Times New Roman"/>
          <w:i/>
          <w:iCs/>
        </w:rPr>
        <w:t>Fashion Theory,</w:t>
      </w:r>
      <w:r w:rsidRPr="00764C6E">
        <w:rPr>
          <w:rFonts w:ascii="Times New Roman" w:hAnsi="Times New Roman" w:cs="Times New Roman"/>
        </w:rPr>
        <w:t xml:space="preserve"> 21.4 (2017), 477–99.</w:t>
      </w:r>
    </w:p>
    <w:p w14:paraId="44B68549" w14:textId="77777777" w:rsidR="00D54A6A"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t>Harrison,</w:t>
      </w:r>
      <w:r>
        <w:rPr>
          <w:rFonts w:ascii="Times New Roman" w:hAnsi="Times New Roman" w:cs="Times New Roman"/>
          <w:sz w:val="22"/>
          <w:szCs w:val="22"/>
        </w:rPr>
        <w:t xml:space="preserve"> Benjamin T.</w:t>
      </w:r>
      <w:proofErr w:type="gramStart"/>
      <w:r>
        <w:rPr>
          <w:rFonts w:ascii="Times New Roman" w:hAnsi="Times New Roman" w:cs="Times New Roman"/>
          <w:sz w:val="22"/>
          <w:szCs w:val="22"/>
        </w:rPr>
        <w:t xml:space="preserve">, </w:t>
      </w:r>
      <w:r w:rsidRPr="00654F1D">
        <w:rPr>
          <w:rFonts w:ascii="Times New Roman" w:hAnsi="Times New Roman" w:cs="Times New Roman"/>
          <w:sz w:val="22"/>
          <w:szCs w:val="22"/>
        </w:rPr>
        <w:t xml:space="preserve"> ‘</w:t>
      </w:r>
      <w:proofErr w:type="gramEnd"/>
      <w:r w:rsidRPr="00654F1D">
        <w:rPr>
          <w:rFonts w:ascii="Times New Roman" w:hAnsi="Times New Roman" w:cs="Times New Roman"/>
          <w:sz w:val="22"/>
          <w:szCs w:val="22"/>
        </w:rPr>
        <w:t xml:space="preserve">Roots of the American Protest of the 60’s’, </w:t>
      </w:r>
      <w:r w:rsidRPr="00654F1D">
        <w:rPr>
          <w:rFonts w:ascii="Times New Roman" w:hAnsi="Times New Roman" w:cs="Times New Roman"/>
          <w:i/>
          <w:iCs/>
          <w:sz w:val="22"/>
          <w:szCs w:val="22"/>
        </w:rPr>
        <w:t>Peace Research,</w:t>
      </w:r>
      <w:r w:rsidRPr="00654F1D">
        <w:rPr>
          <w:rFonts w:ascii="Times New Roman" w:hAnsi="Times New Roman" w:cs="Times New Roman"/>
          <w:sz w:val="22"/>
          <w:szCs w:val="22"/>
        </w:rPr>
        <w:t xml:space="preserve"> 3.24, (1992), pp.19-31.</w:t>
      </w:r>
    </w:p>
    <w:p w14:paraId="29241DF2" w14:textId="77777777" w:rsidR="00D54A6A" w:rsidRPr="00764C6E" w:rsidRDefault="00D54A6A" w:rsidP="00764C6E">
      <w:pPr>
        <w:pStyle w:val="ListParagraph"/>
        <w:numPr>
          <w:ilvl w:val="0"/>
          <w:numId w:val="9"/>
        </w:numPr>
        <w:spacing w:line="480" w:lineRule="auto"/>
        <w:rPr>
          <w:rFonts w:ascii="Times New Roman" w:hAnsi="Times New Roman" w:cs="Times New Roman"/>
          <w:u w:val="single"/>
        </w:rPr>
      </w:pPr>
      <w:r w:rsidRPr="00764C6E">
        <w:rPr>
          <w:rFonts w:ascii="Times New Roman" w:hAnsi="Times New Roman" w:cs="Times New Roman"/>
        </w:rPr>
        <w:t xml:space="preserve">Hillman, Betty Luther, ‘The Significance of Style in American Culture and Politics’ in </w:t>
      </w:r>
      <w:r w:rsidRPr="00764C6E">
        <w:rPr>
          <w:rFonts w:ascii="Times New Roman" w:hAnsi="Times New Roman" w:cs="Times New Roman"/>
          <w:i/>
          <w:iCs/>
        </w:rPr>
        <w:t>Dressing for the Culture Wars: Style and the Politics of Self-Presentation</w:t>
      </w:r>
      <w:r w:rsidRPr="00764C6E">
        <w:rPr>
          <w:rFonts w:ascii="Times New Roman" w:hAnsi="Times New Roman" w:cs="Times New Roman"/>
        </w:rPr>
        <w:t>, xiii-xxiv.</w:t>
      </w:r>
    </w:p>
    <w:p w14:paraId="699D9598" w14:textId="77777777" w:rsidR="00D54A6A" w:rsidRPr="00AC61B8" w:rsidRDefault="00D54A6A" w:rsidP="00764C6E">
      <w:pPr>
        <w:pStyle w:val="FootnoteText"/>
        <w:numPr>
          <w:ilvl w:val="0"/>
          <w:numId w:val="9"/>
        </w:numPr>
        <w:spacing w:line="480" w:lineRule="auto"/>
        <w:rPr>
          <w:rFonts w:ascii="Times New Roman" w:hAnsi="Times New Roman" w:cs="Times New Roman"/>
          <w:sz w:val="22"/>
          <w:szCs w:val="22"/>
        </w:rPr>
      </w:pPr>
      <w:r w:rsidRPr="00AC61B8">
        <w:rPr>
          <w:rFonts w:ascii="Times New Roman" w:hAnsi="Times New Roman" w:cs="Times New Roman"/>
          <w:color w:val="37393C"/>
          <w:sz w:val="22"/>
          <w:szCs w:val="22"/>
          <w:shd w:val="clear" w:color="auto" w:fill="FFFFFF"/>
        </w:rPr>
        <w:t xml:space="preserve">Loftus, Joseph A., “Nation’s Youth Feel Major U.S. Impact </w:t>
      </w:r>
      <w:proofErr w:type="gramStart"/>
      <w:r w:rsidRPr="00AC61B8">
        <w:rPr>
          <w:rFonts w:ascii="Times New Roman" w:hAnsi="Times New Roman" w:cs="Times New Roman"/>
          <w:color w:val="37393C"/>
          <w:sz w:val="22"/>
          <w:szCs w:val="22"/>
          <w:shd w:val="clear" w:color="auto" w:fill="FFFFFF"/>
        </w:rPr>
        <w:t>Of</w:t>
      </w:r>
      <w:proofErr w:type="gramEnd"/>
      <w:r w:rsidRPr="00AC61B8">
        <w:rPr>
          <w:rFonts w:ascii="Times New Roman" w:hAnsi="Times New Roman" w:cs="Times New Roman"/>
          <w:color w:val="37393C"/>
          <w:sz w:val="22"/>
          <w:szCs w:val="22"/>
          <w:shd w:val="clear" w:color="auto" w:fill="FFFFFF"/>
        </w:rPr>
        <w:t xml:space="preserve"> War in Vietnam,” </w:t>
      </w:r>
      <w:r w:rsidRPr="00AC61B8">
        <w:rPr>
          <w:rFonts w:ascii="Times New Roman" w:hAnsi="Times New Roman" w:cs="Times New Roman"/>
          <w:i/>
          <w:iCs/>
          <w:color w:val="37393C"/>
          <w:sz w:val="22"/>
          <w:szCs w:val="22"/>
          <w:shd w:val="clear" w:color="auto" w:fill="FFFFFF"/>
        </w:rPr>
        <w:t>The New York Times</w:t>
      </w:r>
      <w:r w:rsidRPr="00AC61B8">
        <w:rPr>
          <w:rFonts w:ascii="Times New Roman" w:hAnsi="Times New Roman" w:cs="Times New Roman"/>
          <w:color w:val="37393C"/>
          <w:sz w:val="22"/>
          <w:szCs w:val="22"/>
          <w:shd w:val="clear" w:color="auto" w:fill="FFFFFF"/>
        </w:rPr>
        <w:t xml:space="preserve">, 1966, p.1. </w:t>
      </w:r>
    </w:p>
    <w:p w14:paraId="5D80C966" w14:textId="77777777" w:rsidR="00D54A6A"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t>Lytle,</w:t>
      </w:r>
      <w:r>
        <w:rPr>
          <w:rFonts w:ascii="Times New Roman" w:hAnsi="Times New Roman" w:cs="Times New Roman"/>
          <w:sz w:val="22"/>
          <w:szCs w:val="22"/>
        </w:rPr>
        <w:t xml:space="preserve"> Mark,</w:t>
      </w:r>
      <w:r w:rsidRPr="00654F1D">
        <w:rPr>
          <w:rFonts w:ascii="Times New Roman" w:hAnsi="Times New Roman" w:cs="Times New Roman"/>
          <w:sz w:val="22"/>
          <w:szCs w:val="22"/>
        </w:rPr>
        <w:t xml:space="preserve"> ‘Making Sense of the Sixties’, </w:t>
      </w:r>
      <w:r w:rsidRPr="00654F1D">
        <w:rPr>
          <w:rFonts w:ascii="Times New Roman" w:hAnsi="Times New Roman" w:cs="Times New Roman"/>
          <w:i/>
          <w:iCs/>
          <w:sz w:val="22"/>
          <w:szCs w:val="22"/>
        </w:rPr>
        <w:t>Irish Journal of American Studies</w:t>
      </w:r>
      <w:r w:rsidRPr="00654F1D">
        <w:rPr>
          <w:rFonts w:ascii="Times New Roman" w:hAnsi="Times New Roman" w:cs="Times New Roman"/>
          <w:sz w:val="22"/>
          <w:szCs w:val="22"/>
        </w:rPr>
        <w:t>, 10, (2001) 1–17</w:t>
      </w:r>
      <w:r>
        <w:rPr>
          <w:rFonts w:ascii="Times New Roman" w:hAnsi="Times New Roman" w:cs="Times New Roman"/>
          <w:sz w:val="22"/>
          <w:szCs w:val="22"/>
        </w:rPr>
        <w:t>.</w:t>
      </w:r>
    </w:p>
    <w:p w14:paraId="30BB3E73" w14:textId="77777777" w:rsidR="00D54A6A" w:rsidRPr="00654F1D"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t xml:space="preserve">Roberts, </w:t>
      </w:r>
      <w:r>
        <w:rPr>
          <w:rFonts w:ascii="Times New Roman" w:hAnsi="Times New Roman" w:cs="Times New Roman"/>
          <w:sz w:val="22"/>
          <w:szCs w:val="22"/>
        </w:rPr>
        <w:t xml:space="preserve">Keith </w:t>
      </w:r>
      <w:proofErr w:type="spellStart"/>
      <w:proofErr w:type="gramStart"/>
      <w:r>
        <w:rPr>
          <w:rFonts w:ascii="Times New Roman" w:hAnsi="Times New Roman" w:cs="Times New Roman"/>
          <w:sz w:val="22"/>
          <w:szCs w:val="22"/>
        </w:rPr>
        <w:t>A.,</w:t>
      </w:r>
      <w:r w:rsidRPr="00654F1D">
        <w:rPr>
          <w:rFonts w:ascii="Times New Roman" w:hAnsi="Times New Roman" w:cs="Times New Roman"/>
          <w:sz w:val="22"/>
          <w:szCs w:val="22"/>
        </w:rPr>
        <w:t>‘</w:t>
      </w:r>
      <w:proofErr w:type="gramEnd"/>
      <w:r w:rsidRPr="00654F1D">
        <w:rPr>
          <w:rFonts w:ascii="Times New Roman" w:hAnsi="Times New Roman" w:cs="Times New Roman"/>
          <w:sz w:val="22"/>
          <w:szCs w:val="22"/>
        </w:rPr>
        <w:t>Toward</w:t>
      </w:r>
      <w:proofErr w:type="spellEnd"/>
      <w:r w:rsidRPr="00654F1D">
        <w:rPr>
          <w:rFonts w:ascii="Times New Roman" w:hAnsi="Times New Roman" w:cs="Times New Roman"/>
          <w:sz w:val="22"/>
          <w:szCs w:val="22"/>
        </w:rPr>
        <w:t xml:space="preserve"> a Generic Concept of Counterculture’, Sociological Focus, 11.2, (1978), 111-126.</w:t>
      </w:r>
    </w:p>
    <w:p w14:paraId="1A5786F0" w14:textId="77777777" w:rsidR="00D54A6A"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t>Steele, Valerie, Fifty Years of Fashion: New Look to Now (New Haven, CT: Yale University Press, 2000)</w:t>
      </w:r>
      <w:r>
        <w:rPr>
          <w:rFonts w:ascii="Times New Roman" w:hAnsi="Times New Roman" w:cs="Times New Roman"/>
          <w:sz w:val="22"/>
          <w:szCs w:val="22"/>
        </w:rPr>
        <w:t>.</w:t>
      </w:r>
    </w:p>
    <w:p w14:paraId="2AE071C4" w14:textId="77777777" w:rsidR="00D54A6A" w:rsidRPr="00654F1D" w:rsidRDefault="00D54A6A" w:rsidP="00764C6E">
      <w:pPr>
        <w:pStyle w:val="FootnoteText"/>
        <w:numPr>
          <w:ilvl w:val="0"/>
          <w:numId w:val="9"/>
        </w:numPr>
        <w:spacing w:line="480" w:lineRule="auto"/>
        <w:rPr>
          <w:rFonts w:ascii="Times New Roman" w:hAnsi="Times New Roman" w:cs="Times New Roman"/>
          <w:sz w:val="22"/>
          <w:szCs w:val="22"/>
        </w:rPr>
      </w:pPr>
      <w:r w:rsidRPr="00654F1D">
        <w:rPr>
          <w:rFonts w:ascii="Times New Roman" w:hAnsi="Times New Roman" w:cs="Times New Roman"/>
          <w:sz w:val="22"/>
          <w:szCs w:val="22"/>
        </w:rPr>
        <w:lastRenderedPageBreak/>
        <w:t>Suri,</w:t>
      </w:r>
      <w:r>
        <w:rPr>
          <w:rFonts w:ascii="Times New Roman" w:hAnsi="Times New Roman" w:cs="Times New Roman"/>
          <w:sz w:val="22"/>
          <w:szCs w:val="22"/>
        </w:rPr>
        <w:t xml:space="preserve"> </w:t>
      </w:r>
      <w:proofErr w:type="spellStart"/>
      <w:r>
        <w:rPr>
          <w:rFonts w:ascii="Times New Roman" w:hAnsi="Times New Roman" w:cs="Times New Roman"/>
          <w:sz w:val="22"/>
          <w:szCs w:val="22"/>
        </w:rPr>
        <w:t>Jeremi</w:t>
      </w:r>
      <w:proofErr w:type="spellEnd"/>
      <w:r w:rsidRPr="00654F1D">
        <w:rPr>
          <w:rFonts w:ascii="Times New Roman" w:hAnsi="Times New Roman" w:cs="Times New Roman"/>
          <w:sz w:val="22"/>
          <w:szCs w:val="22"/>
        </w:rPr>
        <w:t xml:space="preserve"> ‘The Rise and Fall of an International Counterculture, 1960-1975’, The American History Review, 114.1: 45-68</w:t>
      </w:r>
      <w:r>
        <w:rPr>
          <w:rFonts w:ascii="Times New Roman" w:hAnsi="Times New Roman" w:cs="Times New Roman"/>
          <w:sz w:val="22"/>
          <w:szCs w:val="22"/>
        </w:rPr>
        <w:t>.</w:t>
      </w:r>
    </w:p>
    <w:p w14:paraId="7F79381A" w14:textId="77777777" w:rsidR="00D54A6A" w:rsidRDefault="00D54A6A" w:rsidP="00764C6E">
      <w:pPr>
        <w:pStyle w:val="FootnoteText"/>
        <w:numPr>
          <w:ilvl w:val="0"/>
          <w:numId w:val="9"/>
        </w:numPr>
        <w:spacing w:line="480" w:lineRule="auto"/>
        <w:rPr>
          <w:rFonts w:ascii="Times New Roman" w:hAnsi="Times New Roman" w:cs="Times New Roman"/>
          <w:sz w:val="22"/>
          <w:szCs w:val="22"/>
        </w:rPr>
      </w:pPr>
      <w:r w:rsidRPr="00AC61B8">
        <w:rPr>
          <w:rFonts w:ascii="Times New Roman" w:hAnsi="Times New Roman" w:cs="Times New Roman"/>
          <w:sz w:val="22"/>
          <w:szCs w:val="22"/>
        </w:rPr>
        <w:t>United States Government, “Historical Timeline,” </w:t>
      </w:r>
      <w:r w:rsidRPr="00AC61B8">
        <w:rPr>
          <w:rFonts w:ascii="Times New Roman" w:hAnsi="Times New Roman" w:cs="Times New Roman"/>
          <w:i/>
          <w:iCs/>
          <w:sz w:val="22"/>
          <w:szCs w:val="22"/>
        </w:rPr>
        <w:t>Selective Service System</w:t>
      </w:r>
      <w:r w:rsidRPr="00AC61B8">
        <w:rPr>
          <w:rFonts w:ascii="Times New Roman" w:hAnsi="Times New Roman" w:cs="Times New Roman"/>
          <w:sz w:val="22"/>
          <w:szCs w:val="22"/>
        </w:rPr>
        <w:t>, 2022 &lt;https://www.sss.gov/history-and-records/timeline/#:~:text=Vietnam%20War&amp;text=The%20Selective%20Service%20encountered%20protest,Army%20on%20June%2030%2C%201973.&gt; [accessed 4 April 2022].</w:t>
      </w:r>
    </w:p>
    <w:sectPr w:rsidR="00D54A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D6D9" w14:textId="77777777" w:rsidR="009B44C6" w:rsidRDefault="009B44C6" w:rsidP="00240488">
      <w:pPr>
        <w:spacing w:after="0" w:line="240" w:lineRule="auto"/>
      </w:pPr>
      <w:r>
        <w:separator/>
      </w:r>
    </w:p>
  </w:endnote>
  <w:endnote w:type="continuationSeparator" w:id="0">
    <w:p w14:paraId="320E61A5" w14:textId="77777777" w:rsidR="009B44C6" w:rsidRDefault="009B44C6" w:rsidP="00240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4DF5" w14:textId="77777777" w:rsidR="009B44C6" w:rsidRDefault="009B44C6" w:rsidP="00240488">
      <w:pPr>
        <w:spacing w:after="0" w:line="240" w:lineRule="auto"/>
      </w:pPr>
      <w:r>
        <w:separator/>
      </w:r>
    </w:p>
  </w:footnote>
  <w:footnote w:type="continuationSeparator" w:id="0">
    <w:p w14:paraId="1AC92BFA" w14:textId="77777777" w:rsidR="009B44C6" w:rsidRDefault="009B44C6" w:rsidP="00240488">
      <w:pPr>
        <w:spacing w:after="0" w:line="240" w:lineRule="auto"/>
      </w:pPr>
      <w:r>
        <w:continuationSeparator/>
      </w:r>
    </w:p>
  </w:footnote>
  <w:footnote w:id="1">
    <w:p w14:paraId="487A81FC" w14:textId="313F21C6" w:rsidR="002207B0" w:rsidRDefault="002207B0">
      <w:pPr>
        <w:pStyle w:val="FootnoteText"/>
      </w:pPr>
      <w:r>
        <w:rPr>
          <w:rStyle w:val="FootnoteReference"/>
        </w:rPr>
        <w:footnoteRef/>
      </w:r>
      <w:r>
        <w:t xml:space="preserve"> </w:t>
      </w:r>
      <w:bookmarkStart w:id="0" w:name="_Hlk101361541"/>
      <w:proofErr w:type="spellStart"/>
      <w:r w:rsidR="00EC35C6">
        <w:rPr>
          <w:sz w:val="18"/>
          <w:szCs w:val="18"/>
        </w:rPr>
        <w:t>Jeremi</w:t>
      </w:r>
      <w:proofErr w:type="spellEnd"/>
      <w:r w:rsidR="00EC35C6">
        <w:rPr>
          <w:sz w:val="18"/>
          <w:szCs w:val="18"/>
        </w:rPr>
        <w:t xml:space="preserve"> Suri</w:t>
      </w:r>
      <w:r w:rsidR="00D3212A" w:rsidRPr="00D3212A">
        <w:rPr>
          <w:sz w:val="18"/>
          <w:szCs w:val="18"/>
        </w:rPr>
        <w:t>, ‘The Rise and Fall of an International Counterculture, 1960-1975’, The American History Review, 114.1: 45-68, p.46.</w:t>
      </w:r>
      <w:bookmarkEnd w:id="0"/>
    </w:p>
  </w:footnote>
  <w:footnote w:id="2">
    <w:p w14:paraId="50191558" w14:textId="3C0B01B2" w:rsidR="00ED7155" w:rsidRPr="00B367E6" w:rsidRDefault="00ED7155" w:rsidP="00ED7155">
      <w:pPr>
        <w:pStyle w:val="FootnoteText"/>
        <w:rPr>
          <w:sz w:val="18"/>
          <w:szCs w:val="18"/>
        </w:rPr>
      </w:pPr>
      <w:r w:rsidRPr="00B367E6">
        <w:rPr>
          <w:rStyle w:val="FootnoteReference"/>
          <w:sz w:val="18"/>
          <w:szCs w:val="18"/>
        </w:rPr>
        <w:footnoteRef/>
      </w:r>
      <w:bookmarkStart w:id="1" w:name="_Hlk101358462"/>
      <w:r w:rsidRPr="00B367E6">
        <w:rPr>
          <w:sz w:val="18"/>
          <w:szCs w:val="18"/>
        </w:rPr>
        <w:t xml:space="preserve"> </w:t>
      </w:r>
      <w:r w:rsidR="00813F75" w:rsidRPr="00813F75">
        <w:rPr>
          <w:sz w:val="18"/>
          <w:szCs w:val="18"/>
        </w:rPr>
        <w:t>Steele, Valerie, </w:t>
      </w:r>
      <w:r w:rsidR="00813F75" w:rsidRPr="00813F75">
        <w:rPr>
          <w:i/>
          <w:iCs/>
          <w:sz w:val="18"/>
          <w:szCs w:val="18"/>
        </w:rPr>
        <w:t>Fifty Years of Fashion: New Look to Now</w:t>
      </w:r>
      <w:r w:rsidR="00813F75" w:rsidRPr="00813F75">
        <w:rPr>
          <w:sz w:val="18"/>
          <w:szCs w:val="18"/>
        </w:rPr>
        <w:t> (New Haven, CT: Yale University Press, 2000)</w:t>
      </w:r>
      <w:r w:rsidR="00747A75">
        <w:rPr>
          <w:sz w:val="18"/>
          <w:szCs w:val="18"/>
        </w:rPr>
        <w:t xml:space="preserve"> p.80</w:t>
      </w:r>
      <w:r w:rsidR="00813F75">
        <w:rPr>
          <w:sz w:val="18"/>
          <w:szCs w:val="18"/>
        </w:rPr>
        <w:t>.</w:t>
      </w:r>
      <w:bookmarkEnd w:id="1"/>
    </w:p>
  </w:footnote>
  <w:footnote w:id="3">
    <w:p w14:paraId="5E314D82" w14:textId="5F8BDECA" w:rsidR="008E6B6E" w:rsidRPr="008E6B6E" w:rsidRDefault="008E6B6E">
      <w:pPr>
        <w:pStyle w:val="FootnoteText"/>
        <w:rPr>
          <w:sz w:val="18"/>
          <w:szCs w:val="18"/>
        </w:rPr>
      </w:pPr>
      <w:r>
        <w:rPr>
          <w:rStyle w:val="FootnoteReference"/>
        </w:rPr>
        <w:footnoteRef/>
      </w:r>
      <w:r>
        <w:t xml:space="preserve"> </w:t>
      </w:r>
      <w:r w:rsidRPr="008E6B6E">
        <w:rPr>
          <w:sz w:val="18"/>
          <w:szCs w:val="18"/>
        </w:rPr>
        <w:t>Steele, p.80.</w:t>
      </w:r>
    </w:p>
  </w:footnote>
  <w:footnote w:id="4">
    <w:p w14:paraId="75686715" w14:textId="2FDAB58C" w:rsidR="000B74C0" w:rsidRPr="00B367E6" w:rsidRDefault="000B74C0">
      <w:pPr>
        <w:pStyle w:val="FootnoteText"/>
        <w:rPr>
          <w:sz w:val="18"/>
          <w:szCs w:val="18"/>
        </w:rPr>
      </w:pPr>
      <w:r w:rsidRPr="00B367E6">
        <w:rPr>
          <w:rStyle w:val="FootnoteReference"/>
          <w:sz w:val="18"/>
          <w:szCs w:val="18"/>
        </w:rPr>
        <w:footnoteRef/>
      </w:r>
      <w:r w:rsidRPr="00B367E6">
        <w:rPr>
          <w:sz w:val="18"/>
          <w:szCs w:val="18"/>
        </w:rPr>
        <w:t xml:space="preserve"> </w:t>
      </w:r>
      <w:r w:rsidR="00813F75" w:rsidRPr="00813F75">
        <w:rPr>
          <w:sz w:val="18"/>
          <w:szCs w:val="18"/>
        </w:rPr>
        <w:t>Steele</w:t>
      </w:r>
      <w:r w:rsidR="00B04800">
        <w:rPr>
          <w:sz w:val="18"/>
          <w:szCs w:val="18"/>
        </w:rPr>
        <w:t xml:space="preserve">, </w:t>
      </w:r>
      <w:r w:rsidR="00747A75">
        <w:rPr>
          <w:sz w:val="18"/>
          <w:szCs w:val="18"/>
        </w:rPr>
        <w:t>p.81</w:t>
      </w:r>
      <w:r w:rsidR="00813F75">
        <w:rPr>
          <w:sz w:val="18"/>
          <w:szCs w:val="18"/>
        </w:rPr>
        <w:t>.</w:t>
      </w:r>
    </w:p>
  </w:footnote>
  <w:footnote w:id="5">
    <w:p w14:paraId="0016B565" w14:textId="77777777" w:rsidR="000E4169" w:rsidRDefault="000E4169" w:rsidP="000E4169">
      <w:pPr>
        <w:pStyle w:val="FootnoteText"/>
      </w:pPr>
      <w:r>
        <w:rPr>
          <w:rStyle w:val="FootnoteReference"/>
        </w:rPr>
        <w:footnoteRef/>
      </w:r>
      <w:r>
        <w:t xml:space="preserve"> </w:t>
      </w:r>
      <w:r w:rsidRPr="00E550A5">
        <w:rPr>
          <w:sz w:val="18"/>
          <w:szCs w:val="18"/>
        </w:rPr>
        <w:t>Roberts</w:t>
      </w:r>
      <w:r>
        <w:rPr>
          <w:sz w:val="18"/>
          <w:szCs w:val="18"/>
        </w:rPr>
        <w:t>, p.111.</w:t>
      </w:r>
    </w:p>
  </w:footnote>
  <w:footnote w:id="6">
    <w:p w14:paraId="02399EAA" w14:textId="77777777" w:rsidR="000E4169" w:rsidRPr="00E550A5" w:rsidRDefault="000E4169" w:rsidP="000E4169">
      <w:pPr>
        <w:pStyle w:val="FootnoteText"/>
        <w:rPr>
          <w:sz w:val="18"/>
          <w:szCs w:val="18"/>
        </w:rPr>
      </w:pPr>
      <w:r w:rsidRPr="00E550A5">
        <w:rPr>
          <w:rStyle w:val="FootnoteReference"/>
          <w:sz w:val="18"/>
          <w:szCs w:val="18"/>
        </w:rPr>
        <w:footnoteRef/>
      </w:r>
      <w:r w:rsidRPr="00E550A5">
        <w:rPr>
          <w:sz w:val="18"/>
          <w:szCs w:val="18"/>
        </w:rPr>
        <w:t xml:space="preserve"> </w:t>
      </w:r>
      <w:r w:rsidRPr="002F46DF">
        <w:rPr>
          <w:sz w:val="18"/>
          <w:szCs w:val="18"/>
        </w:rPr>
        <w:t>Roberts, p.11</w:t>
      </w:r>
      <w:r>
        <w:rPr>
          <w:sz w:val="18"/>
          <w:szCs w:val="18"/>
        </w:rPr>
        <w:t>2</w:t>
      </w:r>
      <w:r w:rsidRPr="002F46DF">
        <w:rPr>
          <w:sz w:val="18"/>
          <w:szCs w:val="18"/>
        </w:rPr>
        <w:t>.</w:t>
      </w:r>
    </w:p>
  </w:footnote>
  <w:footnote w:id="7">
    <w:p w14:paraId="7788915C" w14:textId="77777777" w:rsidR="000E4169" w:rsidRPr="00E550A5" w:rsidRDefault="000E4169" w:rsidP="000E4169">
      <w:pPr>
        <w:pStyle w:val="FootnoteText"/>
        <w:rPr>
          <w:sz w:val="18"/>
          <w:szCs w:val="18"/>
        </w:rPr>
      </w:pPr>
      <w:r w:rsidRPr="00E550A5">
        <w:rPr>
          <w:rStyle w:val="FootnoteReference"/>
          <w:sz w:val="18"/>
          <w:szCs w:val="18"/>
        </w:rPr>
        <w:footnoteRef/>
      </w:r>
      <w:r w:rsidRPr="00E550A5">
        <w:rPr>
          <w:sz w:val="18"/>
          <w:szCs w:val="18"/>
        </w:rPr>
        <w:t xml:space="preserve"> </w:t>
      </w:r>
      <w:r w:rsidRPr="00824367">
        <w:rPr>
          <w:sz w:val="18"/>
          <w:szCs w:val="18"/>
        </w:rPr>
        <w:t>Roberts, p.1</w:t>
      </w:r>
      <w:r>
        <w:rPr>
          <w:sz w:val="18"/>
          <w:szCs w:val="18"/>
        </w:rPr>
        <w:t>12.</w:t>
      </w:r>
    </w:p>
  </w:footnote>
  <w:footnote w:id="8">
    <w:p w14:paraId="4D3D675B" w14:textId="77777777" w:rsidR="000E4169" w:rsidRDefault="000E4169" w:rsidP="000E4169">
      <w:pPr>
        <w:pStyle w:val="FootnoteText"/>
      </w:pPr>
      <w:r w:rsidRPr="00E550A5">
        <w:rPr>
          <w:rStyle w:val="FootnoteReference"/>
          <w:sz w:val="18"/>
          <w:szCs w:val="18"/>
        </w:rPr>
        <w:footnoteRef/>
      </w:r>
      <w:r w:rsidRPr="00E550A5">
        <w:rPr>
          <w:sz w:val="18"/>
          <w:szCs w:val="18"/>
        </w:rPr>
        <w:t xml:space="preserve"> </w:t>
      </w:r>
      <w:r w:rsidRPr="00DC7D50">
        <w:rPr>
          <w:sz w:val="18"/>
          <w:szCs w:val="18"/>
        </w:rPr>
        <w:t>Roberts, p.11</w:t>
      </w:r>
      <w:r>
        <w:rPr>
          <w:sz w:val="18"/>
          <w:szCs w:val="18"/>
        </w:rPr>
        <w:t>3.</w:t>
      </w:r>
    </w:p>
  </w:footnote>
  <w:footnote w:id="9">
    <w:p w14:paraId="7D197308" w14:textId="1519A6F1" w:rsidR="00173067" w:rsidRPr="00B367E6" w:rsidRDefault="00173067">
      <w:pPr>
        <w:pStyle w:val="FootnoteText"/>
        <w:rPr>
          <w:sz w:val="18"/>
          <w:szCs w:val="18"/>
        </w:rPr>
      </w:pPr>
      <w:r w:rsidRPr="00B367E6">
        <w:rPr>
          <w:rStyle w:val="FootnoteReference"/>
          <w:sz w:val="18"/>
          <w:szCs w:val="18"/>
        </w:rPr>
        <w:footnoteRef/>
      </w:r>
      <w:r w:rsidRPr="00B367E6">
        <w:rPr>
          <w:sz w:val="18"/>
          <w:szCs w:val="18"/>
        </w:rPr>
        <w:t xml:space="preserve"> </w:t>
      </w:r>
      <w:bookmarkStart w:id="2" w:name="_Hlk102052352"/>
      <w:r w:rsidR="00196DB9" w:rsidRPr="00B367E6">
        <w:rPr>
          <w:sz w:val="18"/>
          <w:szCs w:val="18"/>
        </w:rPr>
        <w:t xml:space="preserve">Benjamin T. Harrison, ‘Roots of the American Protest of the 60’s’, </w:t>
      </w:r>
      <w:r w:rsidR="00196DB9" w:rsidRPr="00B367E6">
        <w:rPr>
          <w:i/>
          <w:iCs/>
          <w:sz w:val="18"/>
          <w:szCs w:val="18"/>
        </w:rPr>
        <w:t>Peace Research</w:t>
      </w:r>
      <w:r w:rsidR="00E550A5">
        <w:rPr>
          <w:i/>
          <w:iCs/>
          <w:sz w:val="18"/>
          <w:szCs w:val="18"/>
        </w:rPr>
        <w:t>,</w:t>
      </w:r>
      <w:r w:rsidR="00196DB9" w:rsidRPr="00B367E6">
        <w:rPr>
          <w:sz w:val="18"/>
          <w:szCs w:val="18"/>
        </w:rPr>
        <w:t xml:space="preserve"> 3.24, (1992), pp.19-31.</w:t>
      </w:r>
      <w:bookmarkEnd w:id="2"/>
    </w:p>
  </w:footnote>
  <w:footnote w:id="10">
    <w:p w14:paraId="3EF5D5B2" w14:textId="5CD5C72A" w:rsidR="009570F1" w:rsidRDefault="009570F1">
      <w:pPr>
        <w:pStyle w:val="FootnoteText"/>
      </w:pPr>
      <w:r>
        <w:rPr>
          <w:rStyle w:val="FootnoteReference"/>
        </w:rPr>
        <w:footnoteRef/>
      </w:r>
      <w:r>
        <w:t xml:space="preserve"> </w:t>
      </w:r>
      <w:r w:rsidRPr="009570F1">
        <w:rPr>
          <w:sz w:val="18"/>
          <w:szCs w:val="18"/>
        </w:rPr>
        <w:t>Duncan</w:t>
      </w:r>
      <w:r>
        <w:t>,</w:t>
      </w:r>
      <w:r w:rsidRPr="009570F1">
        <w:rPr>
          <w:sz w:val="18"/>
          <w:szCs w:val="18"/>
        </w:rPr>
        <w:t xml:space="preserve"> Russell</w:t>
      </w:r>
      <w:r>
        <w:rPr>
          <w:sz w:val="18"/>
          <w:szCs w:val="18"/>
        </w:rPr>
        <w:t xml:space="preserve">, ‘The Summer of Love and Protest: Transatlantic Counterculture in the 1960s’ in </w:t>
      </w:r>
      <w:r w:rsidRPr="009570F1">
        <w:rPr>
          <w:i/>
          <w:iCs/>
          <w:sz w:val="18"/>
          <w:szCs w:val="18"/>
        </w:rPr>
        <w:t>The Transatlantic Sixties</w:t>
      </w:r>
      <w:r>
        <w:rPr>
          <w:sz w:val="18"/>
          <w:szCs w:val="18"/>
        </w:rPr>
        <w:t xml:space="preserve">, ed. by </w:t>
      </w:r>
      <w:r w:rsidRPr="009570F1">
        <w:rPr>
          <w:sz w:val="18"/>
          <w:szCs w:val="18"/>
        </w:rPr>
        <w:t xml:space="preserve">Grzegorz </w:t>
      </w:r>
      <w:proofErr w:type="spellStart"/>
      <w:r w:rsidRPr="009570F1">
        <w:rPr>
          <w:sz w:val="18"/>
          <w:szCs w:val="18"/>
        </w:rPr>
        <w:t>Kosc</w:t>
      </w:r>
      <w:proofErr w:type="spellEnd"/>
      <w:r>
        <w:rPr>
          <w:sz w:val="18"/>
          <w:szCs w:val="18"/>
        </w:rPr>
        <w:t xml:space="preserve">, </w:t>
      </w:r>
      <w:r w:rsidRPr="009570F1">
        <w:rPr>
          <w:sz w:val="18"/>
          <w:szCs w:val="18"/>
        </w:rPr>
        <w:t>Clara Juncker</w:t>
      </w:r>
      <w:r>
        <w:rPr>
          <w:sz w:val="18"/>
          <w:szCs w:val="18"/>
        </w:rPr>
        <w:t xml:space="preserve">, </w:t>
      </w:r>
      <w:r w:rsidRPr="009570F1">
        <w:rPr>
          <w:sz w:val="18"/>
          <w:szCs w:val="18"/>
        </w:rPr>
        <w:t>Sharon Monteith</w:t>
      </w:r>
      <w:r>
        <w:rPr>
          <w:sz w:val="18"/>
          <w:szCs w:val="18"/>
        </w:rPr>
        <w:t xml:space="preserve">, </w:t>
      </w:r>
      <w:r w:rsidRPr="009570F1">
        <w:rPr>
          <w:sz w:val="18"/>
          <w:szCs w:val="18"/>
        </w:rPr>
        <w:t xml:space="preserve">Britta </w:t>
      </w:r>
      <w:proofErr w:type="spellStart"/>
      <w:r w:rsidRPr="009570F1">
        <w:rPr>
          <w:sz w:val="18"/>
          <w:szCs w:val="18"/>
        </w:rPr>
        <w:t>Waldschmidt</w:t>
      </w:r>
      <w:proofErr w:type="spellEnd"/>
      <w:r w:rsidRPr="009570F1">
        <w:rPr>
          <w:sz w:val="18"/>
          <w:szCs w:val="18"/>
        </w:rPr>
        <w:t>-Nelson</w:t>
      </w:r>
      <w:r>
        <w:rPr>
          <w:sz w:val="18"/>
          <w:szCs w:val="18"/>
        </w:rPr>
        <w:t xml:space="preserve"> </w:t>
      </w:r>
      <w:r w:rsidR="003C2BCD">
        <w:rPr>
          <w:sz w:val="18"/>
          <w:szCs w:val="18"/>
        </w:rPr>
        <w:t>(Bielefeld</w:t>
      </w:r>
      <w:r>
        <w:rPr>
          <w:sz w:val="18"/>
          <w:szCs w:val="18"/>
        </w:rPr>
        <w:t>: Transcript Verlag, 2013), 144-173, p.145.</w:t>
      </w:r>
    </w:p>
  </w:footnote>
  <w:footnote w:id="11">
    <w:p w14:paraId="001C28B3" w14:textId="77777777" w:rsidR="00712507" w:rsidRPr="00953257" w:rsidRDefault="00712507" w:rsidP="00712507">
      <w:pPr>
        <w:pStyle w:val="FootnoteText"/>
        <w:rPr>
          <w:sz w:val="18"/>
          <w:szCs w:val="18"/>
        </w:rPr>
      </w:pPr>
      <w:r w:rsidRPr="00953257">
        <w:rPr>
          <w:rStyle w:val="FootnoteReference"/>
          <w:sz w:val="18"/>
          <w:szCs w:val="18"/>
        </w:rPr>
        <w:footnoteRef/>
      </w:r>
      <w:r w:rsidRPr="00953257">
        <w:rPr>
          <w:sz w:val="18"/>
          <w:szCs w:val="18"/>
        </w:rPr>
        <w:t xml:space="preserve"> Harrison, p.</w:t>
      </w:r>
      <w:r>
        <w:rPr>
          <w:sz w:val="18"/>
          <w:szCs w:val="18"/>
        </w:rPr>
        <w:t>19.</w:t>
      </w:r>
    </w:p>
  </w:footnote>
  <w:footnote w:id="12">
    <w:p w14:paraId="53520583" w14:textId="77777777" w:rsidR="00712507" w:rsidRPr="00B367E6" w:rsidRDefault="00712507" w:rsidP="00712507">
      <w:pPr>
        <w:pStyle w:val="FootnoteText"/>
        <w:rPr>
          <w:sz w:val="18"/>
          <w:szCs w:val="18"/>
        </w:rPr>
      </w:pPr>
      <w:r w:rsidRPr="00B367E6">
        <w:rPr>
          <w:rStyle w:val="FootnoteReference"/>
          <w:sz w:val="18"/>
          <w:szCs w:val="18"/>
        </w:rPr>
        <w:footnoteRef/>
      </w:r>
      <w:r>
        <w:rPr>
          <w:sz w:val="18"/>
          <w:szCs w:val="18"/>
        </w:rPr>
        <w:t xml:space="preserve"> </w:t>
      </w:r>
      <w:r w:rsidRPr="00B367E6">
        <w:rPr>
          <w:sz w:val="18"/>
          <w:szCs w:val="18"/>
        </w:rPr>
        <w:t>Harrison, p.20.</w:t>
      </w:r>
    </w:p>
  </w:footnote>
  <w:footnote w:id="13">
    <w:p w14:paraId="0164D420" w14:textId="632FE870" w:rsidR="000E4169" w:rsidRDefault="000E4169">
      <w:pPr>
        <w:pStyle w:val="FootnoteText"/>
      </w:pPr>
      <w:r>
        <w:rPr>
          <w:rStyle w:val="FootnoteReference"/>
        </w:rPr>
        <w:footnoteRef/>
      </w:r>
      <w:r w:rsidR="006C04AB" w:rsidRPr="00B367E6">
        <w:rPr>
          <w:sz w:val="18"/>
          <w:szCs w:val="18"/>
        </w:rPr>
        <w:t>Harrison, p.20.</w:t>
      </w:r>
    </w:p>
  </w:footnote>
  <w:footnote w:id="14">
    <w:p w14:paraId="63DD7F04" w14:textId="51EFADE7" w:rsidR="00A41029" w:rsidRDefault="00A41029">
      <w:pPr>
        <w:pStyle w:val="FootnoteText"/>
      </w:pPr>
      <w:r>
        <w:rPr>
          <w:rStyle w:val="FootnoteReference"/>
        </w:rPr>
        <w:footnoteRef/>
      </w:r>
      <w:r>
        <w:t xml:space="preserve"> </w:t>
      </w:r>
      <w:bookmarkStart w:id="3" w:name="_Hlk101529804"/>
      <w:r w:rsidR="003C2BCD" w:rsidRPr="003C2BCD">
        <w:rPr>
          <w:sz w:val="18"/>
          <w:szCs w:val="18"/>
        </w:rPr>
        <w:t>Duncan, p.</w:t>
      </w:r>
      <w:bookmarkEnd w:id="3"/>
    </w:p>
  </w:footnote>
  <w:footnote w:id="15">
    <w:p w14:paraId="7010E086" w14:textId="64CDDFF6" w:rsidR="00712507" w:rsidRDefault="00712507">
      <w:pPr>
        <w:pStyle w:val="FootnoteText"/>
      </w:pPr>
      <w:r>
        <w:rPr>
          <w:rStyle w:val="FootnoteReference"/>
        </w:rPr>
        <w:footnoteRef/>
      </w:r>
      <w:r>
        <w:t xml:space="preserve"> </w:t>
      </w:r>
      <w:r w:rsidR="003C2BCD" w:rsidRPr="003C2BCD">
        <w:rPr>
          <w:sz w:val="18"/>
          <w:szCs w:val="18"/>
        </w:rPr>
        <w:t>Duncan, p.</w:t>
      </w:r>
    </w:p>
  </w:footnote>
  <w:footnote w:id="16">
    <w:p w14:paraId="11040905" w14:textId="1AB56BFC" w:rsidR="00A41029" w:rsidRDefault="00A41029">
      <w:pPr>
        <w:pStyle w:val="FootnoteText"/>
      </w:pPr>
      <w:r>
        <w:rPr>
          <w:rStyle w:val="FootnoteReference"/>
        </w:rPr>
        <w:footnoteRef/>
      </w:r>
      <w:r>
        <w:t xml:space="preserve"> </w:t>
      </w:r>
      <w:bookmarkStart w:id="4" w:name="_Hlk101530032"/>
      <w:r w:rsidR="003C2BCD" w:rsidRPr="003C2BCD">
        <w:rPr>
          <w:sz w:val="18"/>
          <w:szCs w:val="18"/>
        </w:rPr>
        <w:t>Duncan, p.</w:t>
      </w:r>
      <w:bookmarkEnd w:id="4"/>
    </w:p>
  </w:footnote>
  <w:footnote w:id="17">
    <w:p w14:paraId="5F14702F" w14:textId="325FAD82" w:rsidR="00A41029" w:rsidRDefault="00A41029">
      <w:pPr>
        <w:pStyle w:val="FootnoteText"/>
      </w:pPr>
      <w:r>
        <w:rPr>
          <w:rStyle w:val="FootnoteReference"/>
        </w:rPr>
        <w:footnoteRef/>
      </w:r>
      <w:r>
        <w:t xml:space="preserve"> </w:t>
      </w:r>
      <w:r w:rsidR="00E25A02" w:rsidRPr="003C2BCD">
        <w:rPr>
          <w:sz w:val="18"/>
          <w:szCs w:val="18"/>
        </w:rPr>
        <w:t>Duncan, p.</w:t>
      </w:r>
    </w:p>
  </w:footnote>
  <w:footnote w:id="18">
    <w:p w14:paraId="138261AE" w14:textId="7B649635" w:rsidR="00A13CA7" w:rsidRDefault="00A13CA7">
      <w:pPr>
        <w:pStyle w:val="FootnoteText"/>
      </w:pPr>
      <w:r>
        <w:rPr>
          <w:rStyle w:val="FootnoteReference"/>
        </w:rPr>
        <w:footnoteRef/>
      </w:r>
      <w:r>
        <w:t xml:space="preserve"> </w:t>
      </w:r>
      <w:r w:rsidR="00E25A02" w:rsidRPr="00E25A02">
        <w:rPr>
          <w:sz w:val="18"/>
          <w:szCs w:val="18"/>
        </w:rPr>
        <w:t>Harrison</w:t>
      </w:r>
      <w:r w:rsidR="00E25A02">
        <w:rPr>
          <w:sz w:val="18"/>
          <w:szCs w:val="18"/>
        </w:rPr>
        <w:t>, p.25.</w:t>
      </w:r>
    </w:p>
  </w:footnote>
  <w:footnote w:id="19">
    <w:p w14:paraId="4BACC6DF" w14:textId="5AAFEB95" w:rsidR="00114D33" w:rsidRDefault="00114D33">
      <w:pPr>
        <w:pStyle w:val="FootnoteText"/>
      </w:pPr>
      <w:r>
        <w:rPr>
          <w:rStyle w:val="FootnoteReference"/>
        </w:rPr>
        <w:footnoteRef/>
      </w:r>
      <w:r>
        <w:t xml:space="preserve"> </w:t>
      </w:r>
      <w:r w:rsidR="00264267" w:rsidRPr="00B367E6">
        <w:rPr>
          <w:sz w:val="18"/>
          <w:szCs w:val="18"/>
        </w:rPr>
        <w:t>Harrison, p.2</w:t>
      </w:r>
      <w:r w:rsidR="00264267">
        <w:rPr>
          <w:sz w:val="18"/>
          <w:szCs w:val="18"/>
        </w:rPr>
        <w:t>6.</w:t>
      </w:r>
    </w:p>
  </w:footnote>
  <w:footnote w:id="20">
    <w:p w14:paraId="3C9E87CC" w14:textId="1BC3FB0F" w:rsidR="00C91F33" w:rsidRDefault="00C91F33">
      <w:pPr>
        <w:pStyle w:val="FootnoteText"/>
      </w:pPr>
      <w:r>
        <w:rPr>
          <w:rStyle w:val="FootnoteReference"/>
        </w:rPr>
        <w:footnoteRef/>
      </w:r>
      <w:r>
        <w:t xml:space="preserve"> </w:t>
      </w:r>
      <w:r w:rsidR="00264267" w:rsidRPr="00B367E6">
        <w:rPr>
          <w:sz w:val="18"/>
          <w:szCs w:val="18"/>
        </w:rPr>
        <w:t>Harrison, p.2</w:t>
      </w:r>
      <w:r w:rsidR="00264267">
        <w:rPr>
          <w:sz w:val="18"/>
          <w:szCs w:val="18"/>
        </w:rPr>
        <w:t>6.</w:t>
      </w:r>
    </w:p>
  </w:footnote>
  <w:footnote w:id="21">
    <w:p w14:paraId="656DB909" w14:textId="082D4645" w:rsidR="009E2B0B" w:rsidRPr="007C0AB4" w:rsidRDefault="009E2B0B">
      <w:pPr>
        <w:pStyle w:val="FootnoteText"/>
        <w:rPr>
          <w:sz w:val="18"/>
          <w:szCs w:val="18"/>
        </w:rPr>
      </w:pPr>
      <w:r w:rsidRPr="00E550A5">
        <w:rPr>
          <w:rStyle w:val="FootnoteReference"/>
          <w:sz w:val="18"/>
          <w:szCs w:val="18"/>
        </w:rPr>
        <w:footnoteRef/>
      </w:r>
      <w:r w:rsidR="007C0AB4">
        <w:rPr>
          <w:sz w:val="18"/>
          <w:szCs w:val="18"/>
        </w:rPr>
        <w:t xml:space="preserve"> </w:t>
      </w:r>
      <w:bookmarkStart w:id="5" w:name="_Hlk101359635"/>
      <w:bookmarkStart w:id="6" w:name="_Hlk102052301"/>
      <w:r w:rsidR="007C0AB4">
        <w:rPr>
          <w:sz w:val="18"/>
          <w:szCs w:val="18"/>
        </w:rPr>
        <w:t>Keith A.</w:t>
      </w:r>
      <w:r w:rsidRPr="00E550A5">
        <w:rPr>
          <w:sz w:val="18"/>
          <w:szCs w:val="18"/>
        </w:rPr>
        <w:t xml:space="preserve"> Roberts</w:t>
      </w:r>
      <w:r w:rsidR="007C0AB4">
        <w:rPr>
          <w:sz w:val="18"/>
          <w:szCs w:val="18"/>
        </w:rPr>
        <w:t xml:space="preserve">, ‘Toward a Generic Concept of Counterculture’, </w:t>
      </w:r>
      <w:r w:rsidR="007C0AB4" w:rsidRPr="007C0AB4">
        <w:rPr>
          <w:i/>
          <w:iCs/>
          <w:sz w:val="18"/>
          <w:szCs w:val="18"/>
        </w:rPr>
        <w:t>Sociological Focus</w:t>
      </w:r>
      <w:r w:rsidR="007C0AB4">
        <w:rPr>
          <w:sz w:val="18"/>
          <w:szCs w:val="18"/>
        </w:rPr>
        <w:t>, 11.2, (1978), 111-126, p.</w:t>
      </w:r>
      <w:r w:rsidR="0067659A">
        <w:rPr>
          <w:sz w:val="18"/>
          <w:szCs w:val="18"/>
        </w:rPr>
        <w:t>111.</w:t>
      </w:r>
      <w:bookmarkEnd w:id="5"/>
    </w:p>
    <w:bookmarkEnd w:id="6"/>
  </w:footnote>
  <w:footnote w:id="22">
    <w:p w14:paraId="1EB68DB2" w14:textId="28FFA6FB" w:rsidR="00F01D66" w:rsidRDefault="00F01D66">
      <w:pPr>
        <w:pStyle w:val="FootnoteText"/>
      </w:pPr>
      <w:r>
        <w:rPr>
          <w:rStyle w:val="FootnoteReference"/>
        </w:rPr>
        <w:footnoteRef/>
      </w:r>
      <w:r w:rsidRPr="00E25A02">
        <w:rPr>
          <w:sz w:val="18"/>
          <w:szCs w:val="18"/>
        </w:rPr>
        <w:t xml:space="preserve"> </w:t>
      </w:r>
      <w:r w:rsidR="00E25A02" w:rsidRPr="00E25A02">
        <w:rPr>
          <w:sz w:val="18"/>
          <w:szCs w:val="18"/>
        </w:rPr>
        <w:t>Roberts</w:t>
      </w:r>
      <w:r w:rsidR="00E25A02">
        <w:rPr>
          <w:sz w:val="18"/>
          <w:szCs w:val="18"/>
        </w:rPr>
        <w:t>, p.112.</w:t>
      </w:r>
    </w:p>
  </w:footnote>
  <w:footnote w:id="23">
    <w:p w14:paraId="536CC3EE" w14:textId="13B4F5F2" w:rsidR="00AC29DF" w:rsidRDefault="00AC29DF" w:rsidP="00AC29DF">
      <w:pPr>
        <w:pStyle w:val="FootnoteText"/>
      </w:pPr>
      <w:r>
        <w:rPr>
          <w:rStyle w:val="FootnoteReference"/>
        </w:rPr>
        <w:footnoteRef/>
      </w:r>
      <w:r>
        <w:t xml:space="preserve"> </w:t>
      </w:r>
      <w:r w:rsidRPr="00E25A02">
        <w:rPr>
          <w:sz w:val="18"/>
          <w:szCs w:val="18"/>
        </w:rPr>
        <w:t>Suri</w:t>
      </w:r>
      <w:r w:rsidR="00846F70">
        <w:rPr>
          <w:sz w:val="18"/>
          <w:szCs w:val="18"/>
        </w:rPr>
        <w:t>, p.49.</w:t>
      </w:r>
    </w:p>
  </w:footnote>
  <w:footnote w:id="24">
    <w:p w14:paraId="0EA55EFA" w14:textId="4B2AE51F" w:rsidR="00AC29DF" w:rsidRDefault="00AC29DF" w:rsidP="00AC29DF">
      <w:pPr>
        <w:pStyle w:val="FootnoteText"/>
      </w:pPr>
      <w:r>
        <w:rPr>
          <w:rStyle w:val="FootnoteReference"/>
        </w:rPr>
        <w:footnoteRef/>
      </w:r>
      <w:r>
        <w:t xml:space="preserve"> </w:t>
      </w:r>
      <w:r w:rsidRPr="00F42CA9">
        <w:rPr>
          <w:sz w:val="18"/>
          <w:szCs w:val="18"/>
        </w:rPr>
        <w:t>Suri</w:t>
      </w:r>
      <w:r w:rsidR="00F42CA9">
        <w:rPr>
          <w:sz w:val="18"/>
          <w:szCs w:val="18"/>
        </w:rPr>
        <w:t>, p.49.</w:t>
      </w:r>
    </w:p>
  </w:footnote>
  <w:footnote w:id="25">
    <w:p w14:paraId="0D1E4AC5" w14:textId="4853E8BB" w:rsidR="002910E5" w:rsidRDefault="002910E5">
      <w:pPr>
        <w:pStyle w:val="FootnoteText"/>
      </w:pPr>
      <w:r>
        <w:rPr>
          <w:rStyle w:val="FootnoteReference"/>
        </w:rPr>
        <w:footnoteRef/>
      </w:r>
      <w:r>
        <w:t xml:space="preserve"> </w:t>
      </w:r>
      <w:r>
        <w:rPr>
          <w:sz w:val="18"/>
          <w:szCs w:val="18"/>
        </w:rPr>
        <w:t>Suri,</w:t>
      </w:r>
      <w:r w:rsidRPr="00D3212A">
        <w:rPr>
          <w:sz w:val="18"/>
          <w:szCs w:val="18"/>
        </w:rPr>
        <w:t xml:space="preserve"> p.4</w:t>
      </w:r>
      <w:r>
        <w:rPr>
          <w:sz w:val="18"/>
          <w:szCs w:val="18"/>
        </w:rPr>
        <w:t>7.</w:t>
      </w:r>
    </w:p>
  </w:footnote>
  <w:footnote w:id="26">
    <w:p w14:paraId="2CC9259F" w14:textId="584803F8" w:rsidR="00553198" w:rsidRDefault="00553198">
      <w:pPr>
        <w:pStyle w:val="FootnoteText"/>
      </w:pPr>
      <w:r>
        <w:rPr>
          <w:rStyle w:val="FootnoteReference"/>
        </w:rPr>
        <w:footnoteRef/>
      </w:r>
      <w:r w:rsidR="00634405">
        <w:rPr>
          <w:sz w:val="18"/>
          <w:szCs w:val="18"/>
        </w:rPr>
        <w:t xml:space="preserve"> </w:t>
      </w:r>
      <w:bookmarkStart w:id="8" w:name="_Hlk101360369"/>
      <w:r w:rsidR="00634405" w:rsidRPr="00634405">
        <w:rPr>
          <w:sz w:val="18"/>
          <w:szCs w:val="18"/>
        </w:rPr>
        <w:t>Mark</w:t>
      </w:r>
      <w:r w:rsidR="004A50FA">
        <w:rPr>
          <w:sz w:val="18"/>
          <w:szCs w:val="18"/>
        </w:rPr>
        <w:t xml:space="preserve"> Lytle,</w:t>
      </w:r>
      <w:r w:rsidR="00634405" w:rsidRPr="00634405">
        <w:rPr>
          <w:sz w:val="18"/>
          <w:szCs w:val="18"/>
        </w:rPr>
        <w:t xml:space="preserve"> </w:t>
      </w:r>
      <w:r w:rsidR="0060171A">
        <w:rPr>
          <w:sz w:val="18"/>
          <w:szCs w:val="18"/>
        </w:rPr>
        <w:t>‘</w:t>
      </w:r>
      <w:r w:rsidR="00634405" w:rsidRPr="00634405">
        <w:rPr>
          <w:sz w:val="18"/>
          <w:szCs w:val="18"/>
        </w:rPr>
        <w:t>Making Sense of the Sixties</w:t>
      </w:r>
      <w:r w:rsidR="0060171A">
        <w:rPr>
          <w:sz w:val="18"/>
          <w:szCs w:val="18"/>
        </w:rPr>
        <w:t xml:space="preserve">’, </w:t>
      </w:r>
      <w:r w:rsidR="00634405" w:rsidRPr="00634405">
        <w:rPr>
          <w:i/>
          <w:iCs/>
          <w:sz w:val="18"/>
          <w:szCs w:val="18"/>
        </w:rPr>
        <w:t>Irish Journal of American Studies</w:t>
      </w:r>
      <w:r w:rsidR="00634405" w:rsidRPr="00634405">
        <w:rPr>
          <w:sz w:val="18"/>
          <w:szCs w:val="18"/>
        </w:rPr>
        <w:t>, 10</w:t>
      </w:r>
      <w:r w:rsidR="00634405">
        <w:rPr>
          <w:sz w:val="18"/>
          <w:szCs w:val="18"/>
        </w:rPr>
        <w:t xml:space="preserve">, (2001) </w:t>
      </w:r>
      <w:r w:rsidR="00634405" w:rsidRPr="00634405">
        <w:rPr>
          <w:sz w:val="18"/>
          <w:szCs w:val="18"/>
        </w:rPr>
        <w:t>1–17</w:t>
      </w:r>
      <w:r w:rsidR="00634405">
        <w:rPr>
          <w:sz w:val="18"/>
          <w:szCs w:val="18"/>
        </w:rPr>
        <w:t>, p.2</w:t>
      </w:r>
      <w:r w:rsidR="00634405" w:rsidRPr="00634405">
        <w:rPr>
          <w:sz w:val="18"/>
          <w:szCs w:val="18"/>
        </w:rPr>
        <w:t>.</w:t>
      </w:r>
      <w:bookmarkEnd w:id="8"/>
    </w:p>
  </w:footnote>
  <w:footnote w:id="27">
    <w:p w14:paraId="2E4CDAD5" w14:textId="6D87A927" w:rsidR="00313CEE" w:rsidRDefault="00313CEE">
      <w:pPr>
        <w:pStyle w:val="FootnoteText"/>
      </w:pPr>
      <w:r>
        <w:rPr>
          <w:rStyle w:val="FootnoteReference"/>
        </w:rPr>
        <w:footnoteRef/>
      </w:r>
      <w:r>
        <w:t xml:space="preserve"> </w:t>
      </w:r>
      <w:r w:rsidR="004A50FA">
        <w:rPr>
          <w:sz w:val="18"/>
          <w:szCs w:val="18"/>
        </w:rPr>
        <w:t>Lytle,</w:t>
      </w:r>
      <w:r w:rsidR="00634405" w:rsidRPr="00634405">
        <w:rPr>
          <w:sz w:val="18"/>
          <w:szCs w:val="18"/>
        </w:rPr>
        <w:t xml:space="preserve"> </w:t>
      </w:r>
      <w:r w:rsidR="00634405">
        <w:rPr>
          <w:sz w:val="18"/>
          <w:szCs w:val="18"/>
        </w:rPr>
        <w:t>p.2</w:t>
      </w:r>
      <w:r w:rsidR="00634405" w:rsidRPr="00634405">
        <w:rPr>
          <w:sz w:val="18"/>
          <w:szCs w:val="18"/>
        </w:rPr>
        <w:t>.</w:t>
      </w:r>
    </w:p>
  </w:footnote>
  <w:footnote w:id="28">
    <w:p w14:paraId="393898EE" w14:textId="7A164892" w:rsidR="00511A08" w:rsidRPr="00034138" w:rsidRDefault="00511A08" w:rsidP="00511A08">
      <w:pPr>
        <w:pStyle w:val="FootnoteText"/>
        <w:rPr>
          <w:sz w:val="18"/>
          <w:szCs w:val="18"/>
        </w:rPr>
      </w:pPr>
      <w:r>
        <w:rPr>
          <w:rStyle w:val="FootnoteReference"/>
        </w:rPr>
        <w:footnoteRef/>
      </w:r>
      <w:r>
        <w:t xml:space="preserve"> </w:t>
      </w:r>
      <w:bookmarkStart w:id="9" w:name="_Hlk102052243"/>
      <w:r w:rsidR="00034138" w:rsidRPr="00034138">
        <w:rPr>
          <w:sz w:val="18"/>
          <w:szCs w:val="18"/>
        </w:rPr>
        <w:t xml:space="preserve">Arnold, Martin, </w:t>
      </w:r>
      <w:r w:rsidR="0060171A">
        <w:rPr>
          <w:sz w:val="18"/>
          <w:szCs w:val="18"/>
        </w:rPr>
        <w:t>‘</w:t>
      </w:r>
      <w:r w:rsidR="00034138" w:rsidRPr="00034138">
        <w:rPr>
          <w:sz w:val="18"/>
          <w:szCs w:val="18"/>
        </w:rPr>
        <w:t>Organised Hippies Emerge on Coast</w:t>
      </w:r>
      <w:r w:rsidR="0060171A">
        <w:rPr>
          <w:sz w:val="18"/>
          <w:szCs w:val="18"/>
        </w:rPr>
        <w:t xml:space="preserve">’, </w:t>
      </w:r>
      <w:r w:rsidR="00034138" w:rsidRPr="00034138">
        <w:rPr>
          <w:i/>
          <w:iCs/>
          <w:sz w:val="18"/>
          <w:szCs w:val="18"/>
        </w:rPr>
        <w:t>The New York Times</w:t>
      </w:r>
      <w:r w:rsidR="00034138" w:rsidRPr="00034138">
        <w:rPr>
          <w:sz w:val="18"/>
          <w:szCs w:val="18"/>
        </w:rPr>
        <w:t>, 1967, p. 40</w:t>
      </w:r>
      <w:r w:rsidR="00034138">
        <w:rPr>
          <w:sz w:val="18"/>
          <w:szCs w:val="18"/>
        </w:rPr>
        <w:t>.</w:t>
      </w:r>
      <w:bookmarkEnd w:id="9"/>
    </w:p>
  </w:footnote>
  <w:footnote w:id="29">
    <w:p w14:paraId="7ED02D7A" w14:textId="7BBB7AB2" w:rsidR="006D0C74" w:rsidRPr="00DF144F" w:rsidRDefault="006D0C74">
      <w:pPr>
        <w:pStyle w:val="FootnoteText"/>
        <w:rPr>
          <w:sz w:val="18"/>
          <w:szCs w:val="18"/>
        </w:rPr>
      </w:pPr>
      <w:r>
        <w:rPr>
          <w:rStyle w:val="FootnoteReference"/>
        </w:rPr>
        <w:footnoteRef/>
      </w:r>
      <w:r>
        <w:t xml:space="preserve"> </w:t>
      </w:r>
      <w:r w:rsidR="00DF144F" w:rsidRPr="008E6B6E">
        <w:rPr>
          <w:sz w:val="18"/>
          <w:szCs w:val="18"/>
        </w:rPr>
        <w:t>Steele,</w:t>
      </w:r>
      <w:r w:rsidR="00DF4C23">
        <w:rPr>
          <w:sz w:val="18"/>
          <w:szCs w:val="18"/>
        </w:rPr>
        <w:t xml:space="preserve"> </w:t>
      </w:r>
      <w:r w:rsidR="00DF144F" w:rsidRPr="008E6B6E">
        <w:rPr>
          <w:sz w:val="18"/>
          <w:szCs w:val="18"/>
        </w:rPr>
        <w:t>p.80.</w:t>
      </w:r>
    </w:p>
  </w:footnote>
  <w:footnote w:id="30">
    <w:p w14:paraId="75ECCF70" w14:textId="67D1B5AA" w:rsidR="008D4DD6" w:rsidRDefault="008D4DD6">
      <w:pPr>
        <w:pStyle w:val="FootnoteText"/>
      </w:pPr>
      <w:r>
        <w:rPr>
          <w:rStyle w:val="FootnoteReference"/>
        </w:rPr>
        <w:footnoteRef/>
      </w:r>
      <w:r>
        <w:t xml:space="preserve"> </w:t>
      </w:r>
      <w:bookmarkStart w:id="10" w:name="_Hlk102052204"/>
      <w:r w:rsidR="004C099B" w:rsidRPr="004C099B">
        <w:rPr>
          <w:rFonts w:cstheme="minorHAnsi"/>
          <w:color w:val="37393C"/>
          <w:sz w:val="18"/>
          <w:szCs w:val="18"/>
          <w:shd w:val="clear" w:color="auto" w:fill="FFFFFF"/>
        </w:rPr>
        <w:t>United States Government, “Historical Timeline,” </w:t>
      </w:r>
      <w:r w:rsidR="004C099B" w:rsidRPr="004C099B">
        <w:rPr>
          <w:rFonts w:cstheme="minorHAnsi"/>
          <w:i/>
          <w:iCs/>
          <w:color w:val="37393C"/>
          <w:sz w:val="18"/>
          <w:szCs w:val="18"/>
          <w:shd w:val="clear" w:color="auto" w:fill="FFFFFF"/>
        </w:rPr>
        <w:t>Selective Service System</w:t>
      </w:r>
      <w:r w:rsidR="004C099B" w:rsidRPr="004C099B">
        <w:rPr>
          <w:rFonts w:cstheme="minorHAnsi"/>
          <w:color w:val="37393C"/>
          <w:sz w:val="18"/>
          <w:szCs w:val="18"/>
          <w:shd w:val="clear" w:color="auto" w:fill="FFFFFF"/>
        </w:rPr>
        <w:t xml:space="preserve">, 2022 &lt;https://www.sss.gov/history-and-records/timeline/#:~:text=Vietnam%20War&amp;text=The%20Selective%20Service%20encountered%20protest,Army%20on%20June%2030%2C%201973.&gt; [accessed 4 </w:t>
      </w:r>
      <w:r w:rsidR="004C099B">
        <w:rPr>
          <w:rFonts w:cstheme="minorHAnsi"/>
          <w:color w:val="37393C"/>
          <w:sz w:val="18"/>
          <w:szCs w:val="18"/>
          <w:shd w:val="clear" w:color="auto" w:fill="FFFFFF"/>
        </w:rPr>
        <w:t>April</w:t>
      </w:r>
      <w:r w:rsidR="004C099B" w:rsidRPr="004C099B">
        <w:rPr>
          <w:rFonts w:cstheme="minorHAnsi"/>
          <w:color w:val="37393C"/>
          <w:sz w:val="18"/>
          <w:szCs w:val="18"/>
          <w:shd w:val="clear" w:color="auto" w:fill="FFFFFF"/>
        </w:rPr>
        <w:t xml:space="preserve"> 2022]</w:t>
      </w:r>
      <w:r w:rsidR="004C099B">
        <w:rPr>
          <w:rFonts w:cstheme="minorHAnsi"/>
          <w:color w:val="37393C"/>
          <w:sz w:val="18"/>
          <w:szCs w:val="18"/>
          <w:shd w:val="clear" w:color="auto" w:fill="FFFFFF"/>
        </w:rPr>
        <w:t>.</w:t>
      </w:r>
      <w:bookmarkEnd w:id="10"/>
    </w:p>
  </w:footnote>
  <w:footnote w:id="31">
    <w:p w14:paraId="51CC71AD" w14:textId="68129ADD" w:rsidR="009E7E9E" w:rsidRDefault="009E7E9E">
      <w:pPr>
        <w:pStyle w:val="FootnoteText"/>
      </w:pPr>
      <w:r>
        <w:rPr>
          <w:rStyle w:val="FootnoteReference"/>
        </w:rPr>
        <w:footnoteRef/>
      </w:r>
      <w:r>
        <w:t xml:space="preserve"> </w:t>
      </w:r>
      <w:r w:rsidR="00C53927" w:rsidRPr="00B367E6">
        <w:rPr>
          <w:sz w:val="18"/>
          <w:szCs w:val="18"/>
        </w:rPr>
        <w:t xml:space="preserve">Harrison, </w:t>
      </w:r>
      <w:r w:rsidR="000E0519">
        <w:rPr>
          <w:sz w:val="18"/>
          <w:szCs w:val="18"/>
        </w:rPr>
        <w:t>p</w:t>
      </w:r>
      <w:r w:rsidR="00C53927">
        <w:rPr>
          <w:sz w:val="18"/>
          <w:szCs w:val="18"/>
        </w:rPr>
        <w:t>.</w:t>
      </w:r>
      <w:r w:rsidR="000E0519">
        <w:rPr>
          <w:sz w:val="18"/>
          <w:szCs w:val="18"/>
        </w:rPr>
        <w:t>26.</w:t>
      </w:r>
    </w:p>
  </w:footnote>
  <w:footnote w:id="32">
    <w:p w14:paraId="33CCF583" w14:textId="5EBC197C" w:rsidR="00614959" w:rsidRDefault="00614959">
      <w:pPr>
        <w:pStyle w:val="FootnoteText"/>
      </w:pPr>
      <w:r>
        <w:rPr>
          <w:rStyle w:val="FootnoteReference"/>
        </w:rPr>
        <w:footnoteRef/>
      </w:r>
      <w:r>
        <w:t xml:space="preserve"> </w:t>
      </w:r>
      <w:r w:rsidR="00583BB8" w:rsidRPr="00B367E6">
        <w:rPr>
          <w:sz w:val="18"/>
          <w:szCs w:val="18"/>
        </w:rPr>
        <w:t>Harrison, p</w:t>
      </w:r>
      <w:r w:rsidR="00583BB8">
        <w:rPr>
          <w:sz w:val="18"/>
          <w:szCs w:val="18"/>
        </w:rPr>
        <w:t>.26.</w:t>
      </w:r>
    </w:p>
  </w:footnote>
  <w:footnote w:id="33">
    <w:p w14:paraId="7EFEC55A" w14:textId="7C0C8C99" w:rsidR="00BB44CE" w:rsidRDefault="00BB44CE">
      <w:pPr>
        <w:pStyle w:val="FootnoteText"/>
      </w:pPr>
      <w:r>
        <w:rPr>
          <w:rStyle w:val="FootnoteReference"/>
        </w:rPr>
        <w:footnoteRef/>
      </w:r>
      <w:r>
        <w:t xml:space="preserve"> </w:t>
      </w:r>
      <w:bookmarkStart w:id="11" w:name="_Hlk101361724"/>
      <w:r w:rsidR="00251CC3">
        <w:rPr>
          <w:sz w:val="18"/>
          <w:szCs w:val="18"/>
        </w:rPr>
        <w:t>Suri,</w:t>
      </w:r>
      <w:r w:rsidR="00251CC3" w:rsidRPr="00D3212A">
        <w:rPr>
          <w:sz w:val="18"/>
          <w:szCs w:val="18"/>
        </w:rPr>
        <w:t xml:space="preserve"> p.46.</w:t>
      </w:r>
      <w:bookmarkEnd w:id="11"/>
    </w:p>
  </w:footnote>
  <w:footnote w:id="34">
    <w:p w14:paraId="3C36805A" w14:textId="766B81D7" w:rsidR="0071434D" w:rsidRDefault="0071434D">
      <w:pPr>
        <w:pStyle w:val="FootnoteText"/>
      </w:pPr>
      <w:r>
        <w:rPr>
          <w:rStyle w:val="FootnoteReference"/>
        </w:rPr>
        <w:footnoteRef/>
      </w:r>
      <w:r>
        <w:t xml:space="preserve"> </w:t>
      </w:r>
      <w:r w:rsidR="00221890">
        <w:rPr>
          <w:sz w:val="18"/>
          <w:szCs w:val="18"/>
        </w:rPr>
        <w:t>Suri,</w:t>
      </w:r>
      <w:r w:rsidR="00221890" w:rsidRPr="00D3212A">
        <w:rPr>
          <w:sz w:val="18"/>
          <w:szCs w:val="18"/>
        </w:rPr>
        <w:t xml:space="preserve"> p.4</w:t>
      </w:r>
      <w:r w:rsidR="00221890">
        <w:rPr>
          <w:sz w:val="18"/>
          <w:szCs w:val="18"/>
        </w:rPr>
        <w:t>9.</w:t>
      </w:r>
    </w:p>
  </w:footnote>
  <w:footnote w:id="35">
    <w:p w14:paraId="25EB006A" w14:textId="77777777" w:rsidR="00F01D66" w:rsidRDefault="00F01D66" w:rsidP="00F01D66">
      <w:pPr>
        <w:pStyle w:val="FootnoteText"/>
      </w:pPr>
      <w:r>
        <w:rPr>
          <w:rStyle w:val="FootnoteReference"/>
        </w:rPr>
        <w:footnoteRef/>
      </w:r>
      <w:r>
        <w:t xml:space="preserve"> </w:t>
      </w:r>
      <w:r w:rsidRPr="00C06582">
        <w:rPr>
          <w:rFonts w:cstheme="minorHAnsi"/>
          <w:color w:val="37393C"/>
          <w:sz w:val="18"/>
          <w:szCs w:val="18"/>
          <w:shd w:val="clear" w:color="auto" w:fill="FFFFFF"/>
        </w:rPr>
        <w:t xml:space="preserve">Loftus, Joseph A., “Nation’s Youth Feel Major U.S. Impact </w:t>
      </w:r>
      <w:proofErr w:type="gramStart"/>
      <w:r w:rsidRPr="00C06582">
        <w:rPr>
          <w:rFonts w:cstheme="minorHAnsi"/>
          <w:color w:val="37393C"/>
          <w:sz w:val="18"/>
          <w:szCs w:val="18"/>
          <w:shd w:val="clear" w:color="auto" w:fill="FFFFFF"/>
        </w:rPr>
        <w:t>Of</w:t>
      </w:r>
      <w:proofErr w:type="gramEnd"/>
      <w:r w:rsidRPr="00C06582">
        <w:rPr>
          <w:rFonts w:cstheme="minorHAnsi"/>
          <w:color w:val="37393C"/>
          <w:sz w:val="18"/>
          <w:szCs w:val="18"/>
          <w:shd w:val="clear" w:color="auto" w:fill="FFFFFF"/>
        </w:rPr>
        <w:t xml:space="preserve"> War in Vietnam,” </w:t>
      </w:r>
      <w:r w:rsidRPr="00C06582">
        <w:rPr>
          <w:rFonts w:cstheme="minorHAnsi"/>
          <w:i/>
          <w:iCs/>
          <w:color w:val="37393C"/>
          <w:sz w:val="18"/>
          <w:szCs w:val="18"/>
          <w:shd w:val="clear" w:color="auto" w:fill="FFFFFF"/>
        </w:rPr>
        <w:t>The New York Times</w:t>
      </w:r>
      <w:r w:rsidRPr="00C06582">
        <w:rPr>
          <w:rFonts w:cstheme="minorHAnsi"/>
          <w:color w:val="37393C"/>
          <w:sz w:val="18"/>
          <w:szCs w:val="18"/>
          <w:shd w:val="clear" w:color="auto" w:fill="FFFFFF"/>
        </w:rPr>
        <w:t>, 1966, p. 1</w:t>
      </w:r>
    </w:p>
  </w:footnote>
  <w:footnote w:id="36">
    <w:p w14:paraId="4C00CD37" w14:textId="0AB0B122" w:rsidR="00950C35" w:rsidRDefault="00950C35">
      <w:pPr>
        <w:pStyle w:val="FootnoteText"/>
      </w:pPr>
      <w:r>
        <w:rPr>
          <w:rStyle w:val="FootnoteReference"/>
        </w:rPr>
        <w:footnoteRef/>
      </w:r>
      <w:r>
        <w:t xml:space="preserve"> </w:t>
      </w:r>
      <w:r w:rsidR="00291BCA" w:rsidRPr="000D7B58">
        <w:rPr>
          <w:sz w:val="18"/>
          <w:szCs w:val="18"/>
        </w:rPr>
        <w:t xml:space="preserve">Cheryl Buckley and Hazel Clark, ‘Conceptualizing Fashion in Everyday Lives’, </w:t>
      </w:r>
      <w:r w:rsidR="00291BCA" w:rsidRPr="000D7B58">
        <w:rPr>
          <w:i/>
          <w:iCs/>
          <w:sz w:val="18"/>
          <w:szCs w:val="18"/>
        </w:rPr>
        <w:t>Design Issues</w:t>
      </w:r>
      <w:r w:rsidR="00291BCA" w:rsidRPr="000D7B58">
        <w:rPr>
          <w:sz w:val="18"/>
          <w:szCs w:val="18"/>
        </w:rPr>
        <w:t>, (2012) 28.4: 18–28</w:t>
      </w:r>
      <w:r w:rsidR="00291BCA">
        <w:rPr>
          <w:sz w:val="18"/>
          <w:szCs w:val="18"/>
        </w:rPr>
        <w:t>.</w:t>
      </w:r>
    </w:p>
  </w:footnote>
  <w:footnote w:id="37">
    <w:p w14:paraId="5B1F4F85" w14:textId="3911B9B1" w:rsidR="00365F53" w:rsidRDefault="00365F53">
      <w:pPr>
        <w:pStyle w:val="FootnoteText"/>
      </w:pPr>
      <w:r>
        <w:rPr>
          <w:rStyle w:val="FootnoteReference"/>
        </w:rPr>
        <w:footnoteRef/>
      </w:r>
      <w:r>
        <w:t xml:space="preserve"> </w:t>
      </w:r>
      <w:r w:rsidR="00291BCA" w:rsidRPr="000D7B58">
        <w:rPr>
          <w:sz w:val="18"/>
          <w:szCs w:val="18"/>
        </w:rPr>
        <w:t>Buckley and</w:t>
      </w:r>
      <w:r w:rsidR="005836FE">
        <w:rPr>
          <w:sz w:val="18"/>
          <w:szCs w:val="18"/>
        </w:rPr>
        <w:t xml:space="preserve"> </w:t>
      </w:r>
      <w:r w:rsidR="00291BCA" w:rsidRPr="000D7B58">
        <w:rPr>
          <w:sz w:val="18"/>
          <w:szCs w:val="18"/>
        </w:rPr>
        <w:t>Clark, p.2</w:t>
      </w:r>
      <w:r w:rsidR="00291BCA">
        <w:rPr>
          <w:sz w:val="18"/>
          <w:szCs w:val="18"/>
        </w:rPr>
        <w:t>1.</w:t>
      </w:r>
    </w:p>
  </w:footnote>
  <w:footnote w:id="38">
    <w:p w14:paraId="33149347" w14:textId="1A447FF5" w:rsidR="00950C35" w:rsidRPr="000D7B58" w:rsidRDefault="00950C35">
      <w:pPr>
        <w:pStyle w:val="FootnoteText"/>
        <w:rPr>
          <w:lang w:val="en-GB"/>
        </w:rPr>
      </w:pPr>
      <w:r>
        <w:rPr>
          <w:rStyle w:val="FootnoteReference"/>
        </w:rPr>
        <w:footnoteRef/>
      </w:r>
      <w:r>
        <w:t xml:space="preserve"> </w:t>
      </w:r>
      <w:bookmarkStart w:id="12" w:name="_Hlk101373410"/>
      <w:r w:rsidR="000D7B58" w:rsidRPr="000D7B58">
        <w:rPr>
          <w:sz w:val="18"/>
          <w:szCs w:val="18"/>
        </w:rPr>
        <w:t xml:space="preserve">Buckley </w:t>
      </w:r>
      <w:r w:rsidR="006E4906">
        <w:rPr>
          <w:sz w:val="18"/>
          <w:szCs w:val="18"/>
        </w:rPr>
        <w:t>and</w:t>
      </w:r>
      <w:r w:rsidR="000D7B58" w:rsidRPr="000D7B58">
        <w:rPr>
          <w:sz w:val="18"/>
          <w:szCs w:val="18"/>
        </w:rPr>
        <w:t xml:space="preserve"> Clark, p.22</w:t>
      </w:r>
      <w:r w:rsidR="000D7B58" w:rsidRPr="000D7B58">
        <w:rPr>
          <w:sz w:val="18"/>
          <w:szCs w:val="18"/>
          <w:lang w:val="en-GB"/>
        </w:rPr>
        <w:t>.</w:t>
      </w:r>
      <w:bookmarkEnd w:id="12"/>
    </w:p>
  </w:footnote>
  <w:footnote w:id="39">
    <w:p w14:paraId="77F8ABB7" w14:textId="067B5D92" w:rsidR="0027367F" w:rsidRDefault="0027367F">
      <w:pPr>
        <w:pStyle w:val="FootnoteText"/>
      </w:pPr>
      <w:r>
        <w:rPr>
          <w:rStyle w:val="FootnoteReference"/>
        </w:rPr>
        <w:footnoteRef/>
      </w:r>
      <w:r>
        <w:t xml:space="preserve"> </w:t>
      </w:r>
      <w:r w:rsidR="000D7B58" w:rsidRPr="000D7B58">
        <w:rPr>
          <w:sz w:val="18"/>
          <w:szCs w:val="18"/>
        </w:rPr>
        <w:t>Buckley and Clark,</w:t>
      </w:r>
      <w:r w:rsidR="006E4906">
        <w:rPr>
          <w:sz w:val="18"/>
          <w:szCs w:val="18"/>
        </w:rPr>
        <w:t xml:space="preserve"> p</w:t>
      </w:r>
      <w:r w:rsidR="000D7B58" w:rsidRPr="000D7B58">
        <w:rPr>
          <w:sz w:val="18"/>
          <w:szCs w:val="18"/>
        </w:rPr>
        <w:t>.2</w:t>
      </w:r>
      <w:r w:rsidR="000D7B58">
        <w:rPr>
          <w:sz w:val="18"/>
          <w:szCs w:val="18"/>
        </w:rPr>
        <w:t>3.</w:t>
      </w:r>
    </w:p>
  </w:footnote>
  <w:footnote w:id="40">
    <w:p w14:paraId="64425B27" w14:textId="52814678" w:rsidR="0083658A" w:rsidRPr="009570F1" w:rsidRDefault="0083658A" w:rsidP="009570F1">
      <w:pPr>
        <w:pStyle w:val="FootnoteText"/>
        <w:rPr>
          <w:sz w:val="18"/>
          <w:szCs w:val="18"/>
        </w:rPr>
      </w:pPr>
      <w:r>
        <w:rPr>
          <w:rStyle w:val="FootnoteReference"/>
        </w:rPr>
        <w:footnoteRef/>
      </w:r>
      <w:r>
        <w:t xml:space="preserve"> </w:t>
      </w:r>
      <w:bookmarkStart w:id="13" w:name="_Hlk102051946"/>
      <w:bookmarkStart w:id="14" w:name="_Hlk101529697"/>
      <w:r w:rsidR="009570F1" w:rsidRPr="009570F1">
        <w:rPr>
          <w:sz w:val="18"/>
          <w:szCs w:val="18"/>
        </w:rPr>
        <w:t>Duncan</w:t>
      </w:r>
      <w:r w:rsidR="009570F1">
        <w:t>,</w:t>
      </w:r>
      <w:r w:rsidR="009570F1" w:rsidRPr="009570F1">
        <w:rPr>
          <w:sz w:val="18"/>
          <w:szCs w:val="18"/>
        </w:rPr>
        <w:t xml:space="preserve"> </w:t>
      </w:r>
      <w:bookmarkEnd w:id="13"/>
      <w:r w:rsidR="009570F1">
        <w:rPr>
          <w:sz w:val="18"/>
          <w:szCs w:val="18"/>
        </w:rPr>
        <w:t>p.145.</w:t>
      </w:r>
      <w:bookmarkEnd w:id="14"/>
    </w:p>
  </w:footnote>
  <w:footnote w:id="41">
    <w:p w14:paraId="3B4446BC" w14:textId="200A94A3" w:rsidR="0083658A" w:rsidRDefault="0083658A">
      <w:pPr>
        <w:pStyle w:val="FootnoteText"/>
      </w:pPr>
      <w:r>
        <w:rPr>
          <w:rStyle w:val="FootnoteReference"/>
        </w:rPr>
        <w:footnoteRef/>
      </w:r>
      <w:r>
        <w:t xml:space="preserve"> </w:t>
      </w:r>
      <w:r w:rsidR="00B63FBE" w:rsidRPr="00B63FBE">
        <w:rPr>
          <w:sz w:val="18"/>
          <w:szCs w:val="18"/>
        </w:rPr>
        <w:t>Duncan</w:t>
      </w:r>
      <w:r w:rsidR="00B63FBE">
        <w:rPr>
          <w:sz w:val="18"/>
          <w:szCs w:val="18"/>
        </w:rPr>
        <w:t>, p.145.</w:t>
      </w:r>
    </w:p>
  </w:footnote>
  <w:footnote w:id="42">
    <w:p w14:paraId="0A754497" w14:textId="6A4DE68B" w:rsidR="0083658A" w:rsidRDefault="0083658A">
      <w:pPr>
        <w:pStyle w:val="FootnoteText"/>
      </w:pPr>
      <w:r>
        <w:rPr>
          <w:rStyle w:val="FootnoteReference"/>
        </w:rPr>
        <w:footnoteRef/>
      </w:r>
      <w:r>
        <w:t xml:space="preserve"> </w:t>
      </w:r>
      <w:r w:rsidR="00B63FBE" w:rsidRPr="003C2BCD">
        <w:rPr>
          <w:sz w:val="18"/>
          <w:szCs w:val="18"/>
        </w:rPr>
        <w:t>Duncan, p.</w:t>
      </w:r>
      <w:r w:rsidR="00B63FBE">
        <w:rPr>
          <w:sz w:val="18"/>
          <w:szCs w:val="18"/>
        </w:rPr>
        <w:t xml:space="preserve">145. </w:t>
      </w:r>
    </w:p>
  </w:footnote>
  <w:footnote w:id="43">
    <w:p w14:paraId="35D9BFFD" w14:textId="69275A30" w:rsidR="0083658A" w:rsidRDefault="0083658A">
      <w:pPr>
        <w:pStyle w:val="FootnoteText"/>
      </w:pPr>
      <w:r>
        <w:rPr>
          <w:rStyle w:val="FootnoteReference"/>
        </w:rPr>
        <w:footnoteRef/>
      </w:r>
      <w:r>
        <w:t xml:space="preserve"> </w:t>
      </w:r>
      <w:r w:rsidR="00B63FBE" w:rsidRPr="003C2BCD">
        <w:rPr>
          <w:sz w:val="18"/>
          <w:szCs w:val="18"/>
        </w:rPr>
        <w:t>Duncan, p.</w:t>
      </w:r>
      <w:r w:rsidR="00B63FBE">
        <w:rPr>
          <w:sz w:val="18"/>
          <w:szCs w:val="18"/>
        </w:rPr>
        <w:t>14</w:t>
      </w:r>
      <w:r w:rsidR="000D2CA8">
        <w:rPr>
          <w:sz w:val="18"/>
          <w:szCs w:val="18"/>
        </w:rPr>
        <w:t>5.</w:t>
      </w:r>
    </w:p>
  </w:footnote>
  <w:footnote w:id="44">
    <w:p w14:paraId="0340315B" w14:textId="4178B9B3" w:rsidR="00D17D73" w:rsidRDefault="00D17D73">
      <w:pPr>
        <w:pStyle w:val="FootnoteText"/>
      </w:pPr>
      <w:r>
        <w:rPr>
          <w:rStyle w:val="FootnoteReference"/>
        </w:rPr>
        <w:footnoteRef/>
      </w:r>
      <w:r>
        <w:t xml:space="preserve"> </w:t>
      </w:r>
      <w:bookmarkStart w:id="15" w:name="_Hlk102051894"/>
      <w:r w:rsidRPr="000D2CA8">
        <w:rPr>
          <w:sz w:val="18"/>
          <w:szCs w:val="18"/>
        </w:rPr>
        <w:t>Louise Banner</w:t>
      </w:r>
      <w:r w:rsidR="000D2CA8">
        <w:rPr>
          <w:sz w:val="18"/>
          <w:szCs w:val="18"/>
        </w:rPr>
        <w:t xml:space="preserve">, ‘Fashion and History’, </w:t>
      </w:r>
      <w:r w:rsidR="000D2CA8" w:rsidRPr="000D2CA8">
        <w:rPr>
          <w:i/>
          <w:iCs/>
          <w:sz w:val="18"/>
          <w:szCs w:val="18"/>
        </w:rPr>
        <w:t>The Journal of Interdisciplinary History</w:t>
      </w:r>
      <w:r w:rsidR="000D2CA8">
        <w:rPr>
          <w:sz w:val="18"/>
          <w:szCs w:val="18"/>
        </w:rPr>
        <w:t>, (1982), 13.2, 311-315, p.312.</w:t>
      </w:r>
      <w:bookmarkEnd w:id="15"/>
    </w:p>
  </w:footnote>
  <w:footnote w:id="45">
    <w:p w14:paraId="5333A2A2" w14:textId="2C482253" w:rsidR="007F2B96" w:rsidRPr="00FD7096" w:rsidRDefault="007F2B96">
      <w:pPr>
        <w:pStyle w:val="FootnoteText"/>
        <w:rPr>
          <w:sz w:val="18"/>
          <w:szCs w:val="18"/>
        </w:rPr>
      </w:pPr>
      <w:r>
        <w:rPr>
          <w:rStyle w:val="FootnoteReference"/>
        </w:rPr>
        <w:footnoteRef/>
      </w:r>
      <w:r>
        <w:t xml:space="preserve"> </w:t>
      </w:r>
      <w:r w:rsidR="00FD7096" w:rsidRPr="00FD7096">
        <w:rPr>
          <w:sz w:val="18"/>
          <w:szCs w:val="18"/>
        </w:rPr>
        <w:t>Banner, p.312.</w:t>
      </w:r>
    </w:p>
  </w:footnote>
  <w:footnote w:id="46">
    <w:p w14:paraId="3A77B0AA" w14:textId="6CF4A342" w:rsidR="470E68AC" w:rsidRDefault="470E68AC" w:rsidP="470E68AC">
      <w:pPr>
        <w:pStyle w:val="FootnoteText"/>
      </w:pPr>
      <w:r w:rsidRPr="470E68AC">
        <w:rPr>
          <w:rStyle w:val="FootnoteReference"/>
        </w:rPr>
        <w:footnoteRef/>
      </w:r>
      <w:r w:rsidRPr="470E68AC">
        <w:t xml:space="preserve"> </w:t>
      </w:r>
      <w:r w:rsidR="00654F1D" w:rsidRPr="00654F1D">
        <w:rPr>
          <w:sz w:val="18"/>
          <w:szCs w:val="18"/>
        </w:rPr>
        <w:t>Banner, p.312.</w:t>
      </w:r>
    </w:p>
  </w:footnote>
  <w:footnote w:id="47">
    <w:p w14:paraId="40CEE5EA" w14:textId="00DA2E73" w:rsidR="00A13CA7" w:rsidRPr="00412D5B" w:rsidRDefault="00A13CA7">
      <w:pPr>
        <w:pStyle w:val="FootnoteText"/>
      </w:pPr>
      <w:r>
        <w:rPr>
          <w:rStyle w:val="FootnoteReference"/>
        </w:rPr>
        <w:footnoteRef/>
      </w:r>
      <w:r>
        <w:t xml:space="preserve"> </w:t>
      </w:r>
      <w:bookmarkStart w:id="16" w:name="_Hlk102051766"/>
      <w:r w:rsidR="00412D5B" w:rsidRPr="00412D5B">
        <w:rPr>
          <w:sz w:val="18"/>
          <w:szCs w:val="18"/>
        </w:rPr>
        <w:t xml:space="preserve">Hillman, Betty Luther, </w:t>
      </w:r>
      <w:r w:rsidR="00412D5B">
        <w:rPr>
          <w:sz w:val="18"/>
          <w:szCs w:val="18"/>
        </w:rPr>
        <w:t xml:space="preserve">‘The Significance of Style in American Culture and Politics’ in </w:t>
      </w:r>
      <w:r w:rsidR="00412D5B" w:rsidRPr="00412D5B">
        <w:rPr>
          <w:i/>
          <w:iCs/>
          <w:sz w:val="18"/>
          <w:szCs w:val="18"/>
        </w:rPr>
        <w:t>Dressing for the Culture Wars: Style and the Politics of Self-Presentation</w:t>
      </w:r>
      <w:r w:rsidR="00412D5B">
        <w:rPr>
          <w:sz w:val="18"/>
          <w:szCs w:val="18"/>
        </w:rPr>
        <w:t xml:space="preserve">, xiii-xxiv, </w:t>
      </w:r>
      <w:proofErr w:type="spellStart"/>
      <w:r w:rsidR="00412D5B">
        <w:rPr>
          <w:sz w:val="18"/>
          <w:szCs w:val="18"/>
        </w:rPr>
        <w:t>p.xix</w:t>
      </w:r>
      <w:proofErr w:type="spellEnd"/>
      <w:r w:rsidR="00412D5B">
        <w:rPr>
          <w:sz w:val="18"/>
          <w:szCs w:val="18"/>
        </w:rPr>
        <w:t>.</w:t>
      </w:r>
      <w:bookmarkEnd w:id="16"/>
    </w:p>
  </w:footnote>
  <w:footnote w:id="48">
    <w:p w14:paraId="3464C738" w14:textId="7665B4F5" w:rsidR="00D4402B" w:rsidRPr="00A44A91" w:rsidRDefault="00D4402B">
      <w:pPr>
        <w:pStyle w:val="FootnoteText"/>
        <w:rPr>
          <w:sz w:val="18"/>
          <w:szCs w:val="18"/>
        </w:rPr>
      </w:pPr>
      <w:r>
        <w:rPr>
          <w:rStyle w:val="FootnoteReference"/>
        </w:rPr>
        <w:footnoteRef/>
      </w:r>
      <w:r>
        <w:t xml:space="preserve"> </w:t>
      </w:r>
      <w:r w:rsidR="00A44A91" w:rsidRPr="00A44A91">
        <w:rPr>
          <w:sz w:val="18"/>
          <w:szCs w:val="18"/>
        </w:rPr>
        <w:t>“Number of TV Households in America 1950-1978,” </w:t>
      </w:r>
      <w:r w:rsidR="00A44A91" w:rsidRPr="00A44A91">
        <w:rPr>
          <w:i/>
          <w:iCs/>
          <w:sz w:val="18"/>
          <w:szCs w:val="18"/>
        </w:rPr>
        <w:t>Wlu.Edu</w:t>
      </w:r>
      <w:r w:rsidR="00A44A91" w:rsidRPr="00A44A91">
        <w:rPr>
          <w:sz w:val="18"/>
          <w:szCs w:val="18"/>
        </w:rPr>
        <w:t> &lt;https://americancentury.omeka.wlu.edu/items/show/136&gt; [accessed 8 April 2022].</w:t>
      </w:r>
    </w:p>
  </w:footnote>
  <w:footnote w:id="49">
    <w:p w14:paraId="7E9DF813" w14:textId="1198DEFF" w:rsidR="00A13CA7" w:rsidRDefault="00A13CA7">
      <w:pPr>
        <w:pStyle w:val="FootnoteText"/>
      </w:pPr>
      <w:r>
        <w:rPr>
          <w:rStyle w:val="FootnoteReference"/>
        </w:rPr>
        <w:footnoteRef/>
      </w:r>
      <w:r>
        <w:t xml:space="preserve"> </w:t>
      </w:r>
      <w:bookmarkStart w:id="17" w:name="_Hlk101530572"/>
      <w:r w:rsidR="00820553" w:rsidRPr="00820553">
        <w:rPr>
          <w:sz w:val="18"/>
          <w:szCs w:val="18"/>
        </w:rPr>
        <w:t>Hillman, p.</w:t>
      </w:r>
      <w:r w:rsidR="00820553">
        <w:rPr>
          <w:sz w:val="18"/>
          <w:szCs w:val="18"/>
        </w:rPr>
        <w:t xml:space="preserve"> xix</w:t>
      </w:r>
      <w:bookmarkEnd w:id="17"/>
    </w:p>
  </w:footnote>
  <w:footnote w:id="50">
    <w:p w14:paraId="7E0B703A" w14:textId="7307C5FE" w:rsidR="00F341CF" w:rsidRDefault="00F341CF">
      <w:pPr>
        <w:pStyle w:val="FootnoteText"/>
      </w:pPr>
      <w:r>
        <w:rPr>
          <w:rStyle w:val="FootnoteReference"/>
        </w:rPr>
        <w:footnoteRef/>
      </w:r>
      <w:r>
        <w:t xml:space="preserve"> </w:t>
      </w:r>
      <w:r w:rsidR="00820553" w:rsidRPr="00820553">
        <w:rPr>
          <w:sz w:val="18"/>
          <w:szCs w:val="18"/>
        </w:rPr>
        <w:t>Hillman, p.</w:t>
      </w:r>
      <w:r w:rsidR="00820553">
        <w:rPr>
          <w:sz w:val="18"/>
          <w:szCs w:val="18"/>
        </w:rPr>
        <w:t xml:space="preserve"> xx</w:t>
      </w:r>
    </w:p>
  </w:footnote>
  <w:footnote w:id="51">
    <w:p w14:paraId="077B42B9" w14:textId="633A95D4" w:rsidR="00BC4906" w:rsidRPr="003A768B" w:rsidRDefault="00BC4906">
      <w:pPr>
        <w:pStyle w:val="FootnoteText"/>
        <w:rPr>
          <w:sz w:val="18"/>
          <w:szCs w:val="18"/>
        </w:rPr>
      </w:pPr>
      <w:r>
        <w:rPr>
          <w:rStyle w:val="FootnoteReference"/>
        </w:rPr>
        <w:footnoteRef/>
      </w:r>
      <w:r w:rsidR="00A44A91">
        <w:rPr>
          <w:sz w:val="18"/>
          <w:szCs w:val="18"/>
        </w:rPr>
        <w:t xml:space="preserve"> </w:t>
      </w:r>
      <w:r w:rsidR="00A44A91" w:rsidRPr="00A44A91">
        <w:rPr>
          <w:sz w:val="18"/>
          <w:szCs w:val="18"/>
        </w:rPr>
        <w:t>Hillman, p. xx</w:t>
      </w:r>
    </w:p>
  </w:footnote>
  <w:footnote w:id="52">
    <w:p w14:paraId="7FE7316B" w14:textId="3FCAFBE0" w:rsidR="00424B60" w:rsidRPr="003A768B" w:rsidRDefault="00424B60">
      <w:pPr>
        <w:pStyle w:val="FootnoteText"/>
        <w:rPr>
          <w:sz w:val="18"/>
          <w:szCs w:val="18"/>
        </w:rPr>
      </w:pPr>
      <w:r w:rsidRPr="003A768B">
        <w:rPr>
          <w:rStyle w:val="FootnoteReference"/>
          <w:sz w:val="18"/>
          <w:szCs w:val="18"/>
        </w:rPr>
        <w:footnoteRef/>
      </w:r>
      <w:r w:rsidRPr="003A768B">
        <w:rPr>
          <w:sz w:val="18"/>
          <w:szCs w:val="18"/>
        </w:rPr>
        <w:t xml:space="preserve"> </w:t>
      </w:r>
      <w:bookmarkStart w:id="18" w:name="_Hlk102051826"/>
      <w:r w:rsidR="003A768B" w:rsidRPr="003A768B">
        <w:rPr>
          <w:sz w:val="18"/>
          <w:szCs w:val="18"/>
        </w:rPr>
        <w:t xml:space="preserve">Gilbert, David, </w:t>
      </w:r>
      <w:r w:rsidR="00ED720C">
        <w:rPr>
          <w:sz w:val="18"/>
          <w:szCs w:val="18"/>
        </w:rPr>
        <w:t>‘</w:t>
      </w:r>
      <w:r w:rsidR="003A768B" w:rsidRPr="003A768B">
        <w:rPr>
          <w:sz w:val="18"/>
          <w:szCs w:val="18"/>
        </w:rPr>
        <w:t xml:space="preserve">The Looks of </w:t>
      </w:r>
      <w:proofErr w:type="spellStart"/>
      <w:r w:rsidR="003A768B" w:rsidRPr="003A768B">
        <w:rPr>
          <w:sz w:val="18"/>
          <w:szCs w:val="18"/>
        </w:rPr>
        <w:t>Auetherity</w:t>
      </w:r>
      <w:proofErr w:type="spellEnd"/>
      <w:r w:rsidR="003A768B" w:rsidRPr="003A768B">
        <w:rPr>
          <w:sz w:val="18"/>
          <w:szCs w:val="18"/>
        </w:rPr>
        <w:t>: Fashions for Hard Times</w:t>
      </w:r>
      <w:r w:rsidR="00ED720C">
        <w:rPr>
          <w:sz w:val="18"/>
          <w:szCs w:val="18"/>
        </w:rPr>
        <w:t>’,</w:t>
      </w:r>
      <w:r w:rsidR="003A768B" w:rsidRPr="003A768B">
        <w:rPr>
          <w:sz w:val="18"/>
          <w:szCs w:val="18"/>
        </w:rPr>
        <w:t> </w:t>
      </w:r>
      <w:r w:rsidR="003A768B" w:rsidRPr="003A768B">
        <w:rPr>
          <w:i/>
          <w:iCs/>
          <w:sz w:val="18"/>
          <w:szCs w:val="18"/>
        </w:rPr>
        <w:t>Fashion Theory,</w:t>
      </w:r>
      <w:r w:rsidR="003A768B" w:rsidRPr="003A768B">
        <w:rPr>
          <w:sz w:val="18"/>
          <w:szCs w:val="18"/>
        </w:rPr>
        <w:t xml:space="preserve"> 21.4 (2017), 477–99</w:t>
      </w:r>
      <w:r w:rsidR="003A768B">
        <w:rPr>
          <w:sz w:val="18"/>
          <w:szCs w:val="18"/>
        </w:rPr>
        <w:t>, p.487.</w:t>
      </w:r>
      <w:bookmarkEnd w:id="18"/>
    </w:p>
  </w:footnote>
  <w:footnote w:id="53">
    <w:p w14:paraId="285EC771" w14:textId="15F49C07" w:rsidR="470E68AC" w:rsidRDefault="470E68AC" w:rsidP="470E68AC">
      <w:pPr>
        <w:pStyle w:val="FootnoteText"/>
      </w:pPr>
      <w:r w:rsidRPr="470E68AC">
        <w:rPr>
          <w:rStyle w:val="FootnoteReference"/>
        </w:rPr>
        <w:footnoteRef/>
      </w:r>
      <w:r w:rsidRPr="470E68AC">
        <w:t xml:space="preserve"> </w:t>
      </w:r>
      <w:r w:rsidR="00A44A91" w:rsidRPr="00A44A91">
        <w:rPr>
          <w:sz w:val="18"/>
          <w:szCs w:val="18"/>
        </w:rPr>
        <w:t>Gilbert, p.488.</w:t>
      </w:r>
    </w:p>
  </w:footnote>
  <w:footnote w:id="54">
    <w:p w14:paraId="3BB90582" w14:textId="571C3349" w:rsidR="009570F1" w:rsidRDefault="009570F1">
      <w:pPr>
        <w:pStyle w:val="FootnoteText"/>
      </w:pPr>
      <w:r>
        <w:rPr>
          <w:rStyle w:val="FootnoteReference"/>
        </w:rPr>
        <w:footnoteRef/>
      </w:r>
      <w:r>
        <w:t xml:space="preserve"> </w:t>
      </w:r>
      <w:r w:rsidR="00947FA7" w:rsidRPr="00947FA7">
        <w:rPr>
          <w:sz w:val="18"/>
          <w:szCs w:val="18"/>
        </w:rPr>
        <w:t xml:space="preserve">Hillman, </w:t>
      </w:r>
      <w:proofErr w:type="spellStart"/>
      <w:r w:rsidR="00947FA7" w:rsidRPr="00947FA7">
        <w:rPr>
          <w:sz w:val="18"/>
          <w:szCs w:val="18"/>
        </w:rPr>
        <w:t>p.xx</w:t>
      </w:r>
      <w:proofErr w:type="spellEnd"/>
    </w:p>
  </w:footnote>
  <w:footnote w:id="55">
    <w:p w14:paraId="4D3B51CE" w14:textId="3856058C" w:rsidR="009570F1" w:rsidRDefault="009570F1">
      <w:pPr>
        <w:pStyle w:val="FootnoteText"/>
      </w:pPr>
      <w:r>
        <w:rPr>
          <w:rStyle w:val="FootnoteReference"/>
        </w:rPr>
        <w:footnoteRef/>
      </w:r>
      <w:r>
        <w:t xml:space="preserve"> </w:t>
      </w:r>
      <w:r w:rsidR="00947FA7" w:rsidRPr="00947FA7">
        <w:rPr>
          <w:sz w:val="18"/>
          <w:szCs w:val="18"/>
        </w:rPr>
        <w:t>Steele, p.81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AE8"/>
    <w:multiLevelType w:val="hybridMultilevel"/>
    <w:tmpl w:val="148696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AB2802"/>
    <w:multiLevelType w:val="hybridMultilevel"/>
    <w:tmpl w:val="2A625F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E417CC"/>
    <w:multiLevelType w:val="hybridMultilevel"/>
    <w:tmpl w:val="521EC8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7B02885"/>
    <w:multiLevelType w:val="hybridMultilevel"/>
    <w:tmpl w:val="134EFBD0"/>
    <w:lvl w:ilvl="0" w:tplc="1809000F">
      <w:start w:val="1"/>
      <w:numFmt w:val="decimal"/>
      <w:lvlText w:val="%1."/>
      <w:lvlJc w:val="left"/>
      <w:pPr>
        <w:ind w:left="1079" w:hanging="360"/>
      </w:pPr>
    </w:lvl>
    <w:lvl w:ilvl="1" w:tplc="18090019" w:tentative="1">
      <w:start w:val="1"/>
      <w:numFmt w:val="lowerLetter"/>
      <w:lvlText w:val="%2."/>
      <w:lvlJc w:val="left"/>
      <w:pPr>
        <w:ind w:left="1799" w:hanging="360"/>
      </w:pPr>
    </w:lvl>
    <w:lvl w:ilvl="2" w:tplc="1809001B" w:tentative="1">
      <w:start w:val="1"/>
      <w:numFmt w:val="lowerRoman"/>
      <w:lvlText w:val="%3."/>
      <w:lvlJc w:val="right"/>
      <w:pPr>
        <w:ind w:left="2519" w:hanging="180"/>
      </w:pPr>
    </w:lvl>
    <w:lvl w:ilvl="3" w:tplc="1809000F" w:tentative="1">
      <w:start w:val="1"/>
      <w:numFmt w:val="decimal"/>
      <w:lvlText w:val="%4."/>
      <w:lvlJc w:val="left"/>
      <w:pPr>
        <w:ind w:left="3239" w:hanging="360"/>
      </w:pPr>
    </w:lvl>
    <w:lvl w:ilvl="4" w:tplc="18090019" w:tentative="1">
      <w:start w:val="1"/>
      <w:numFmt w:val="lowerLetter"/>
      <w:lvlText w:val="%5."/>
      <w:lvlJc w:val="left"/>
      <w:pPr>
        <w:ind w:left="3959" w:hanging="360"/>
      </w:pPr>
    </w:lvl>
    <w:lvl w:ilvl="5" w:tplc="1809001B" w:tentative="1">
      <w:start w:val="1"/>
      <w:numFmt w:val="lowerRoman"/>
      <w:lvlText w:val="%6."/>
      <w:lvlJc w:val="right"/>
      <w:pPr>
        <w:ind w:left="4679" w:hanging="180"/>
      </w:pPr>
    </w:lvl>
    <w:lvl w:ilvl="6" w:tplc="1809000F" w:tentative="1">
      <w:start w:val="1"/>
      <w:numFmt w:val="decimal"/>
      <w:lvlText w:val="%7."/>
      <w:lvlJc w:val="left"/>
      <w:pPr>
        <w:ind w:left="5399" w:hanging="360"/>
      </w:pPr>
    </w:lvl>
    <w:lvl w:ilvl="7" w:tplc="18090019" w:tentative="1">
      <w:start w:val="1"/>
      <w:numFmt w:val="lowerLetter"/>
      <w:lvlText w:val="%8."/>
      <w:lvlJc w:val="left"/>
      <w:pPr>
        <w:ind w:left="6119" w:hanging="360"/>
      </w:pPr>
    </w:lvl>
    <w:lvl w:ilvl="8" w:tplc="1809001B" w:tentative="1">
      <w:start w:val="1"/>
      <w:numFmt w:val="lowerRoman"/>
      <w:lvlText w:val="%9."/>
      <w:lvlJc w:val="right"/>
      <w:pPr>
        <w:ind w:left="6839" w:hanging="180"/>
      </w:pPr>
    </w:lvl>
  </w:abstractNum>
  <w:abstractNum w:abstractNumId="4" w15:restartNumberingAfterBreak="0">
    <w:nsid w:val="4633680B"/>
    <w:multiLevelType w:val="hybridMultilevel"/>
    <w:tmpl w:val="D5328BCA"/>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D6C6540"/>
    <w:multiLevelType w:val="hybridMultilevel"/>
    <w:tmpl w:val="2FD8DE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5EB6415"/>
    <w:multiLevelType w:val="hybridMultilevel"/>
    <w:tmpl w:val="713EB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30030BC"/>
    <w:multiLevelType w:val="hybridMultilevel"/>
    <w:tmpl w:val="BBEAB356"/>
    <w:lvl w:ilvl="0" w:tplc="1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7C7D114B"/>
    <w:multiLevelType w:val="hybridMultilevel"/>
    <w:tmpl w:val="3998E03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666349922">
    <w:abstractNumId w:val="3"/>
  </w:num>
  <w:num w:numId="2" w16cid:durableId="1249775530">
    <w:abstractNumId w:val="2"/>
  </w:num>
  <w:num w:numId="3" w16cid:durableId="740712112">
    <w:abstractNumId w:val="6"/>
  </w:num>
  <w:num w:numId="4" w16cid:durableId="1607809113">
    <w:abstractNumId w:val="7"/>
  </w:num>
  <w:num w:numId="5" w16cid:durableId="764299938">
    <w:abstractNumId w:val="8"/>
  </w:num>
  <w:num w:numId="6" w16cid:durableId="185486204">
    <w:abstractNumId w:val="1"/>
  </w:num>
  <w:num w:numId="7" w16cid:durableId="71005660">
    <w:abstractNumId w:val="5"/>
  </w:num>
  <w:num w:numId="8" w16cid:durableId="1240283916">
    <w:abstractNumId w:val="4"/>
  </w:num>
  <w:num w:numId="9" w16cid:durableId="1744911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234"/>
    <w:rsid w:val="0000156C"/>
    <w:rsid w:val="000017BC"/>
    <w:rsid w:val="0000560B"/>
    <w:rsid w:val="00025D48"/>
    <w:rsid w:val="00030DA0"/>
    <w:rsid w:val="00034138"/>
    <w:rsid w:val="000363EE"/>
    <w:rsid w:val="000442B1"/>
    <w:rsid w:val="00046BF5"/>
    <w:rsid w:val="00097181"/>
    <w:rsid w:val="000A1814"/>
    <w:rsid w:val="000B6238"/>
    <w:rsid w:val="000B74C0"/>
    <w:rsid w:val="000C1FEC"/>
    <w:rsid w:val="000D2011"/>
    <w:rsid w:val="000D2CA8"/>
    <w:rsid w:val="000D4BB2"/>
    <w:rsid w:val="000D7B58"/>
    <w:rsid w:val="000E0519"/>
    <w:rsid w:val="000E3AD2"/>
    <w:rsid w:val="000E4169"/>
    <w:rsid w:val="00110F36"/>
    <w:rsid w:val="00114D33"/>
    <w:rsid w:val="001358D8"/>
    <w:rsid w:val="00140F5C"/>
    <w:rsid w:val="00141773"/>
    <w:rsid w:val="001431D0"/>
    <w:rsid w:val="001621C6"/>
    <w:rsid w:val="001644D5"/>
    <w:rsid w:val="0016470B"/>
    <w:rsid w:val="001674E9"/>
    <w:rsid w:val="00173067"/>
    <w:rsid w:val="00173BC1"/>
    <w:rsid w:val="00196DB9"/>
    <w:rsid w:val="001B2A44"/>
    <w:rsid w:val="001B3266"/>
    <w:rsid w:val="001C34A7"/>
    <w:rsid w:val="001F437C"/>
    <w:rsid w:val="001F7DDC"/>
    <w:rsid w:val="002040A1"/>
    <w:rsid w:val="00212FD6"/>
    <w:rsid w:val="002207B0"/>
    <w:rsid w:val="00221890"/>
    <w:rsid w:val="00223EE3"/>
    <w:rsid w:val="002328C1"/>
    <w:rsid w:val="00237765"/>
    <w:rsid w:val="00240092"/>
    <w:rsid w:val="00240488"/>
    <w:rsid w:val="00251CC3"/>
    <w:rsid w:val="002544A6"/>
    <w:rsid w:val="00260E7A"/>
    <w:rsid w:val="00264267"/>
    <w:rsid w:val="00266EB9"/>
    <w:rsid w:val="002731D8"/>
    <w:rsid w:val="0027367F"/>
    <w:rsid w:val="00281DE9"/>
    <w:rsid w:val="002910E5"/>
    <w:rsid w:val="00291BCA"/>
    <w:rsid w:val="00296453"/>
    <w:rsid w:val="00296B88"/>
    <w:rsid w:val="002D339D"/>
    <w:rsid w:val="002D3F2F"/>
    <w:rsid w:val="002F46DF"/>
    <w:rsid w:val="00304372"/>
    <w:rsid w:val="00313CEE"/>
    <w:rsid w:val="00314F13"/>
    <w:rsid w:val="0031753A"/>
    <w:rsid w:val="0033759C"/>
    <w:rsid w:val="00345B3F"/>
    <w:rsid w:val="00356A21"/>
    <w:rsid w:val="00361F2B"/>
    <w:rsid w:val="00365D14"/>
    <w:rsid w:val="00365F53"/>
    <w:rsid w:val="00395C6D"/>
    <w:rsid w:val="003A768B"/>
    <w:rsid w:val="003B2539"/>
    <w:rsid w:val="003C2BCD"/>
    <w:rsid w:val="003F56B9"/>
    <w:rsid w:val="00400234"/>
    <w:rsid w:val="004068FD"/>
    <w:rsid w:val="00412D5B"/>
    <w:rsid w:val="00421B1D"/>
    <w:rsid w:val="00424B60"/>
    <w:rsid w:val="00424E8B"/>
    <w:rsid w:val="004571B3"/>
    <w:rsid w:val="0046246C"/>
    <w:rsid w:val="00474D06"/>
    <w:rsid w:val="004750F3"/>
    <w:rsid w:val="00484735"/>
    <w:rsid w:val="00492F7E"/>
    <w:rsid w:val="004A1432"/>
    <w:rsid w:val="004A42D2"/>
    <w:rsid w:val="004A50FA"/>
    <w:rsid w:val="004A78C7"/>
    <w:rsid w:val="004C099B"/>
    <w:rsid w:val="004D7E30"/>
    <w:rsid w:val="004E0367"/>
    <w:rsid w:val="004E43F6"/>
    <w:rsid w:val="004E45A9"/>
    <w:rsid w:val="004F0AEE"/>
    <w:rsid w:val="00511A08"/>
    <w:rsid w:val="00537B69"/>
    <w:rsid w:val="00553198"/>
    <w:rsid w:val="0055380D"/>
    <w:rsid w:val="00567419"/>
    <w:rsid w:val="005679FF"/>
    <w:rsid w:val="00574CF7"/>
    <w:rsid w:val="0058006C"/>
    <w:rsid w:val="005836FE"/>
    <w:rsid w:val="00583BB8"/>
    <w:rsid w:val="00586B8E"/>
    <w:rsid w:val="00586EFE"/>
    <w:rsid w:val="005917DC"/>
    <w:rsid w:val="00596C27"/>
    <w:rsid w:val="005A42BD"/>
    <w:rsid w:val="005B081E"/>
    <w:rsid w:val="005C50B5"/>
    <w:rsid w:val="005E0048"/>
    <w:rsid w:val="005F68C3"/>
    <w:rsid w:val="0060171A"/>
    <w:rsid w:val="00611230"/>
    <w:rsid w:val="00611A32"/>
    <w:rsid w:val="00614959"/>
    <w:rsid w:val="00621105"/>
    <w:rsid w:val="006211D2"/>
    <w:rsid w:val="006324D7"/>
    <w:rsid w:val="00634405"/>
    <w:rsid w:val="00654F1D"/>
    <w:rsid w:val="006560A3"/>
    <w:rsid w:val="006568E7"/>
    <w:rsid w:val="00666BF8"/>
    <w:rsid w:val="00666DA5"/>
    <w:rsid w:val="00667B9F"/>
    <w:rsid w:val="0067659A"/>
    <w:rsid w:val="00676778"/>
    <w:rsid w:val="00686879"/>
    <w:rsid w:val="006960D5"/>
    <w:rsid w:val="0069707A"/>
    <w:rsid w:val="006977DA"/>
    <w:rsid w:val="006A3002"/>
    <w:rsid w:val="006B0E47"/>
    <w:rsid w:val="006C04AB"/>
    <w:rsid w:val="006D0C74"/>
    <w:rsid w:val="006E4906"/>
    <w:rsid w:val="007066CF"/>
    <w:rsid w:val="00712507"/>
    <w:rsid w:val="0071434D"/>
    <w:rsid w:val="00740AA5"/>
    <w:rsid w:val="007424CD"/>
    <w:rsid w:val="0074658F"/>
    <w:rsid w:val="00747A75"/>
    <w:rsid w:val="007549D5"/>
    <w:rsid w:val="00764C6E"/>
    <w:rsid w:val="007969CB"/>
    <w:rsid w:val="00797282"/>
    <w:rsid w:val="007A4996"/>
    <w:rsid w:val="007B430A"/>
    <w:rsid w:val="007B6E5B"/>
    <w:rsid w:val="007C0012"/>
    <w:rsid w:val="007C0747"/>
    <w:rsid w:val="007C0AB4"/>
    <w:rsid w:val="007C464B"/>
    <w:rsid w:val="007D4CAD"/>
    <w:rsid w:val="007D76F3"/>
    <w:rsid w:val="007E7BEA"/>
    <w:rsid w:val="007F0F20"/>
    <w:rsid w:val="007F2B96"/>
    <w:rsid w:val="00800363"/>
    <w:rsid w:val="00812835"/>
    <w:rsid w:val="00813F75"/>
    <w:rsid w:val="00816DD6"/>
    <w:rsid w:val="00820553"/>
    <w:rsid w:val="00824367"/>
    <w:rsid w:val="0083658A"/>
    <w:rsid w:val="00844A53"/>
    <w:rsid w:val="00846F70"/>
    <w:rsid w:val="00847707"/>
    <w:rsid w:val="00852EDB"/>
    <w:rsid w:val="00857FB3"/>
    <w:rsid w:val="00864479"/>
    <w:rsid w:val="0088354F"/>
    <w:rsid w:val="00887C95"/>
    <w:rsid w:val="00895997"/>
    <w:rsid w:val="00897229"/>
    <w:rsid w:val="008974C1"/>
    <w:rsid w:val="008B1E89"/>
    <w:rsid w:val="008B40AD"/>
    <w:rsid w:val="008B5FBF"/>
    <w:rsid w:val="008C36D8"/>
    <w:rsid w:val="008C7778"/>
    <w:rsid w:val="008D377F"/>
    <w:rsid w:val="008D4DD6"/>
    <w:rsid w:val="008E3976"/>
    <w:rsid w:val="008E6B6E"/>
    <w:rsid w:val="00904E1D"/>
    <w:rsid w:val="00913750"/>
    <w:rsid w:val="009209A0"/>
    <w:rsid w:val="00921D88"/>
    <w:rsid w:val="00923C84"/>
    <w:rsid w:val="0092488D"/>
    <w:rsid w:val="00931126"/>
    <w:rsid w:val="00933F52"/>
    <w:rsid w:val="009410E3"/>
    <w:rsid w:val="00946AA8"/>
    <w:rsid w:val="009472B9"/>
    <w:rsid w:val="00947FA7"/>
    <w:rsid w:val="00950C35"/>
    <w:rsid w:val="00953257"/>
    <w:rsid w:val="009570F1"/>
    <w:rsid w:val="00957C9C"/>
    <w:rsid w:val="00966671"/>
    <w:rsid w:val="009833FD"/>
    <w:rsid w:val="00987C37"/>
    <w:rsid w:val="009968AC"/>
    <w:rsid w:val="009B44C6"/>
    <w:rsid w:val="009C753A"/>
    <w:rsid w:val="009D0F9D"/>
    <w:rsid w:val="009D5F02"/>
    <w:rsid w:val="009E01C4"/>
    <w:rsid w:val="009E2B0B"/>
    <w:rsid w:val="009E361A"/>
    <w:rsid w:val="009E7E9E"/>
    <w:rsid w:val="009F4804"/>
    <w:rsid w:val="00A0320E"/>
    <w:rsid w:val="00A04D8F"/>
    <w:rsid w:val="00A13CA7"/>
    <w:rsid w:val="00A155B1"/>
    <w:rsid w:val="00A403F4"/>
    <w:rsid w:val="00A41029"/>
    <w:rsid w:val="00A44A91"/>
    <w:rsid w:val="00A508D9"/>
    <w:rsid w:val="00A63C39"/>
    <w:rsid w:val="00A77865"/>
    <w:rsid w:val="00A91441"/>
    <w:rsid w:val="00A9149D"/>
    <w:rsid w:val="00A91DA2"/>
    <w:rsid w:val="00A94803"/>
    <w:rsid w:val="00AA47C3"/>
    <w:rsid w:val="00AC29DF"/>
    <w:rsid w:val="00AC61B8"/>
    <w:rsid w:val="00AD2C6E"/>
    <w:rsid w:val="00AD573F"/>
    <w:rsid w:val="00AD57FA"/>
    <w:rsid w:val="00AF0335"/>
    <w:rsid w:val="00AF5388"/>
    <w:rsid w:val="00B04800"/>
    <w:rsid w:val="00B060FB"/>
    <w:rsid w:val="00B208E8"/>
    <w:rsid w:val="00B367E6"/>
    <w:rsid w:val="00B437C7"/>
    <w:rsid w:val="00B522EC"/>
    <w:rsid w:val="00B63FBE"/>
    <w:rsid w:val="00B66C94"/>
    <w:rsid w:val="00B70779"/>
    <w:rsid w:val="00BA135F"/>
    <w:rsid w:val="00BB44CE"/>
    <w:rsid w:val="00BB6E1D"/>
    <w:rsid w:val="00BC07DF"/>
    <w:rsid w:val="00BC4906"/>
    <w:rsid w:val="00BD19DF"/>
    <w:rsid w:val="00BD77F0"/>
    <w:rsid w:val="00BF6031"/>
    <w:rsid w:val="00C06582"/>
    <w:rsid w:val="00C14DB0"/>
    <w:rsid w:val="00C153AC"/>
    <w:rsid w:val="00C3062B"/>
    <w:rsid w:val="00C40B59"/>
    <w:rsid w:val="00C5366B"/>
    <w:rsid w:val="00C53927"/>
    <w:rsid w:val="00C5774F"/>
    <w:rsid w:val="00C679AD"/>
    <w:rsid w:val="00C722F9"/>
    <w:rsid w:val="00C74CA7"/>
    <w:rsid w:val="00C761CF"/>
    <w:rsid w:val="00C91F33"/>
    <w:rsid w:val="00CA12C2"/>
    <w:rsid w:val="00CA178D"/>
    <w:rsid w:val="00CC0343"/>
    <w:rsid w:val="00CC71AD"/>
    <w:rsid w:val="00CD2A7F"/>
    <w:rsid w:val="00CD3ED1"/>
    <w:rsid w:val="00D1087C"/>
    <w:rsid w:val="00D17D73"/>
    <w:rsid w:val="00D2742C"/>
    <w:rsid w:val="00D3212A"/>
    <w:rsid w:val="00D4402B"/>
    <w:rsid w:val="00D54A6A"/>
    <w:rsid w:val="00D82387"/>
    <w:rsid w:val="00D82D90"/>
    <w:rsid w:val="00D86D41"/>
    <w:rsid w:val="00DA0877"/>
    <w:rsid w:val="00DC4F95"/>
    <w:rsid w:val="00DC530E"/>
    <w:rsid w:val="00DC7D50"/>
    <w:rsid w:val="00DD00DD"/>
    <w:rsid w:val="00DE249E"/>
    <w:rsid w:val="00DF144F"/>
    <w:rsid w:val="00DF4C23"/>
    <w:rsid w:val="00DF604C"/>
    <w:rsid w:val="00DF74EF"/>
    <w:rsid w:val="00E13443"/>
    <w:rsid w:val="00E15135"/>
    <w:rsid w:val="00E25A02"/>
    <w:rsid w:val="00E35DFC"/>
    <w:rsid w:val="00E37B84"/>
    <w:rsid w:val="00E463AC"/>
    <w:rsid w:val="00E51101"/>
    <w:rsid w:val="00E550A5"/>
    <w:rsid w:val="00E57E67"/>
    <w:rsid w:val="00E63A35"/>
    <w:rsid w:val="00E72F5B"/>
    <w:rsid w:val="00E74B6E"/>
    <w:rsid w:val="00E74FDA"/>
    <w:rsid w:val="00E95974"/>
    <w:rsid w:val="00EB4E68"/>
    <w:rsid w:val="00EB7C3F"/>
    <w:rsid w:val="00EC35C6"/>
    <w:rsid w:val="00ED2040"/>
    <w:rsid w:val="00ED2297"/>
    <w:rsid w:val="00ED3E1D"/>
    <w:rsid w:val="00ED7155"/>
    <w:rsid w:val="00ED720C"/>
    <w:rsid w:val="00EF3F31"/>
    <w:rsid w:val="00F01D66"/>
    <w:rsid w:val="00F022F1"/>
    <w:rsid w:val="00F11175"/>
    <w:rsid w:val="00F16F9B"/>
    <w:rsid w:val="00F30FB8"/>
    <w:rsid w:val="00F341CF"/>
    <w:rsid w:val="00F42CA9"/>
    <w:rsid w:val="00F4488A"/>
    <w:rsid w:val="00F472F4"/>
    <w:rsid w:val="00F75350"/>
    <w:rsid w:val="00F7658A"/>
    <w:rsid w:val="00F872D6"/>
    <w:rsid w:val="00F94AB3"/>
    <w:rsid w:val="00FA28D7"/>
    <w:rsid w:val="00FC06DD"/>
    <w:rsid w:val="00FD7096"/>
    <w:rsid w:val="00FE2BAC"/>
    <w:rsid w:val="017FE85F"/>
    <w:rsid w:val="090AF22A"/>
    <w:rsid w:val="1116040F"/>
    <w:rsid w:val="1219099B"/>
    <w:rsid w:val="1289CF1C"/>
    <w:rsid w:val="144DA4D1"/>
    <w:rsid w:val="19107295"/>
    <w:rsid w:val="1F4F29C7"/>
    <w:rsid w:val="24C01E2B"/>
    <w:rsid w:val="325688B2"/>
    <w:rsid w:val="355C7481"/>
    <w:rsid w:val="37DA348B"/>
    <w:rsid w:val="38941543"/>
    <w:rsid w:val="3A2FE5A4"/>
    <w:rsid w:val="3B11D54D"/>
    <w:rsid w:val="3BCBB605"/>
    <w:rsid w:val="3CB78B72"/>
    <w:rsid w:val="3EDB5173"/>
    <w:rsid w:val="4572984B"/>
    <w:rsid w:val="470E68AC"/>
    <w:rsid w:val="489110B0"/>
    <w:rsid w:val="5E86C350"/>
    <w:rsid w:val="64C481B7"/>
    <w:rsid w:val="676357A4"/>
    <w:rsid w:val="6764B516"/>
    <w:rsid w:val="67D41D25"/>
    <w:rsid w:val="696FED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8454A6"/>
  <w15:chartTrackingRefBased/>
  <w15:docId w15:val="{C7406FDB-4979-4BD7-9F5C-1E560C75F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04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0488"/>
    <w:rPr>
      <w:sz w:val="20"/>
      <w:szCs w:val="20"/>
    </w:rPr>
  </w:style>
  <w:style w:type="character" w:styleId="FootnoteReference">
    <w:name w:val="footnote reference"/>
    <w:basedOn w:val="DefaultParagraphFont"/>
    <w:uiPriority w:val="99"/>
    <w:semiHidden/>
    <w:unhideWhenUsed/>
    <w:rsid w:val="00240488"/>
    <w:rPr>
      <w:vertAlign w:val="superscript"/>
    </w:rPr>
  </w:style>
  <w:style w:type="paragraph" w:styleId="NormalWeb">
    <w:name w:val="Normal (Web)"/>
    <w:basedOn w:val="Normal"/>
    <w:uiPriority w:val="99"/>
    <w:semiHidden/>
    <w:unhideWhenUsed/>
    <w:rsid w:val="00034138"/>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A0877"/>
    <w:rPr>
      <w:sz w:val="16"/>
      <w:szCs w:val="16"/>
    </w:rPr>
  </w:style>
  <w:style w:type="paragraph" w:styleId="CommentText">
    <w:name w:val="annotation text"/>
    <w:basedOn w:val="Normal"/>
    <w:link w:val="CommentTextChar"/>
    <w:uiPriority w:val="99"/>
    <w:unhideWhenUsed/>
    <w:rsid w:val="00DA0877"/>
    <w:pPr>
      <w:spacing w:line="240" w:lineRule="auto"/>
    </w:pPr>
    <w:rPr>
      <w:sz w:val="20"/>
      <w:szCs w:val="20"/>
    </w:rPr>
  </w:style>
  <w:style w:type="character" w:customStyle="1" w:styleId="CommentTextChar">
    <w:name w:val="Comment Text Char"/>
    <w:basedOn w:val="DefaultParagraphFont"/>
    <w:link w:val="CommentText"/>
    <w:uiPriority w:val="99"/>
    <w:rsid w:val="00DA0877"/>
    <w:rPr>
      <w:sz w:val="20"/>
      <w:szCs w:val="20"/>
    </w:rPr>
  </w:style>
  <w:style w:type="paragraph" w:styleId="CommentSubject">
    <w:name w:val="annotation subject"/>
    <w:basedOn w:val="CommentText"/>
    <w:next w:val="CommentText"/>
    <w:link w:val="CommentSubjectChar"/>
    <w:uiPriority w:val="99"/>
    <w:semiHidden/>
    <w:unhideWhenUsed/>
    <w:rsid w:val="00DA0877"/>
    <w:rPr>
      <w:b/>
      <w:bCs/>
    </w:rPr>
  </w:style>
  <w:style w:type="character" w:customStyle="1" w:styleId="CommentSubjectChar">
    <w:name w:val="Comment Subject Char"/>
    <w:basedOn w:val="CommentTextChar"/>
    <w:link w:val="CommentSubject"/>
    <w:uiPriority w:val="99"/>
    <w:semiHidden/>
    <w:rsid w:val="00DA0877"/>
    <w:rPr>
      <w:b/>
      <w:bCs/>
      <w:sz w:val="20"/>
      <w:szCs w:val="20"/>
    </w:rPr>
  </w:style>
  <w:style w:type="paragraph" w:styleId="BalloonText">
    <w:name w:val="Balloon Text"/>
    <w:basedOn w:val="Normal"/>
    <w:link w:val="BalloonTextChar"/>
    <w:uiPriority w:val="99"/>
    <w:semiHidden/>
    <w:unhideWhenUsed/>
    <w:rsid w:val="00DA0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877"/>
    <w:rPr>
      <w:rFonts w:ascii="Segoe UI" w:hAnsi="Segoe UI" w:cs="Segoe UI"/>
      <w:sz w:val="18"/>
      <w:szCs w:val="18"/>
    </w:rPr>
  </w:style>
  <w:style w:type="paragraph" w:styleId="ListParagraph">
    <w:name w:val="List Paragraph"/>
    <w:basedOn w:val="Normal"/>
    <w:uiPriority w:val="34"/>
    <w:qFormat/>
    <w:rsid w:val="00AA4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09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2533</Words>
  <Characters>14440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coffey</dc:creator>
  <cp:keywords/>
  <dc:description/>
  <cp:lastModifiedBy>lauren coffey</cp:lastModifiedBy>
  <cp:revision>3</cp:revision>
  <dcterms:created xsi:type="dcterms:W3CDTF">2022-05-17T00:39:00Z</dcterms:created>
  <dcterms:modified xsi:type="dcterms:W3CDTF">2022-05-17T00:41:00Z</dcterms:modified>
</cp:coreProperties>
</file>